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泰安市市场主体住所（市场场所）</w:t>
      </w:r>
    </w:p>
    <w:p>
      <w:pPr>
        <w:ind w:firstLine="2640" w:firstLineChars="600"/>
        <w:rPr>
          <w:rFonts w:hint="eastAsia" w:ascii="方正小标宋简体" w:hAnsi="方正小标宋简体" w:eastAsia="方正小标宋简体" w:cs="方正小标宋简体"/>
          <w:i w:val="0"/>
          <w:iCs w:val="0"/>
          <w:caps w:val="0"/>
          <w:spacing w:val="8"/>
          <w:sz w:val="36"/>
          <w:szCs w:val="36"/>
          <w:shd w:val="clear" w:fill="FFFFFF"/>
          <w:lang w:eastAsia="zh-CN"/>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托管</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地址</w:t>
      </w:r>
      <w:r>
        <w:rPr>
          <w:rFonts w:hint="eastAsia" w:ascii="方正小标宋简体" w:hAnsi="方正小标宋简体" w:eastAsia="方正小标宋简体" w:cs="方正小标宋简体"/>
          <w:i w:val="0"/>
          <w:iCs w:val="0"/>
          <w:caps w:val="0"/>
          <w:spacing w:val="8"/>
          <w:sz w:val="44"/>
          <w:szCs w:val="44"/>
          <w:shd w:val="clear" w:fill="FFFFFF"/>
          <w:lang w:eastAsia="zh-CN"/>
        </w:rPr>
        <w:t>工作指引</w:t>
      </w:r>
    </w:p>
    <w:p>
      <w:pPr>
        <w:pStyle w:val="5"/>
        <w:spacing w:before="1" w:line="316" w:lineRule="auto"/>
        <w:ind w:left="106" w:right="187" w:firstLine="640"/>
        <w:jc w:val="both"/>
        <w:rPr>
          <w:rFonts w:hint="eastAsia" w:ascii="仿宋" w:hAnsi="仿宋" w:eastAsia="仿宋" w:cs="仿宋"/>
          <w:color w:val="000000" w:themeColor="text1"/>
          <w:sz w:val="32"/>
          <w:szCs w:val="32"/>
          <w:lang w:val="en-US" w:eastAsia="en-US" w:bidi="ar-SA"/>
          <w14:textFill>
            <w14:solidFill>
              <w14:schemeClr w14:val="tx1"/>
            </w14:solidFill>
          </w14:textFill>
        </w:rPr>
      </w:pPr>
      <w:r>
        <w:rPr>
          <w:rFonts w:hint="eastAsia" w:ascii="仿宋" w:hAnsi="仿宋" w:eastAsia="仿宋" w:cs="仿宋"/>
          <w:i w:val="0"/>
          <w:iCs w:val="0"/>
          <w:caps w:val="0"/>
          <w:spacing w:val="8"/>
          <w:sz w:val="32"/>
          <w:szCs w:val="32"/>
          <w:shd w:val="clear" w:fill="FFFFFF"/>
        </w:rPr>
        <w:t>为了规范</w:t>
      </w:r>
      <w:r>
        <w:rPr>
          <w:rFonts w:hint="eastAsia" w:ascii="仿宋" w:hAnsi="仿宋" w:eastAsia="仿宋" w:cs="仿宋"/>
          <w:i w:val="0"/>
          <w:iCs w:val="0"/>
          <w:caps w:val="0"/>
          <w:spacing w:val="8"/>
          <w:sz w:val="32"/>
          <w:szCs w:val="32"/>
          <w:shd w:val="clear" w:fill="FFFFFF"/>
          <w:lang w:eastAsia="zh-CN"/>
        </w:rPr>
        <w:t>市场主体</w:t>
      </w:r>
      <w:r>
        <w:rPr>
          <w:rFonts w:hint="eastAsia" w:ascii="仿宋" w:hAnsi="仿宋" w:eastAsia="仿宋" w:cs="仿宋"/>
          <w:i w:val="0"/>
          <w:iCs w:val="0"/>
          <w:caps w:val="0"/>
          <w:spacing w:val="8"/>
          <w:sz w:val="32"/>
          <w:szCs w:val="32"/>
          <w:shd w:val="clear" w:fill="FFFFFF"/>
        </w:rPr>
        <w:t>登记管理秩序</w:t>
      </w:r>
      <w:r>
        <w:rPr>
          <w:rFonts w:hint="eastAsia" w:ascii="仿宋" w:hAnsi="仿宋" w:eastAsia="仿宋" w:cs="仿宋"/>
          <w:sz w:val="32"/>
          <w:szCs w:val="32"/>
        </w:rPr>
        <w:t>，</w:t>
      </w:r>
      <w:r>
        <w:rPr>
          <w:rFonts w:hint="eastAsia" w:ascii="仿宋" w:hAnsi="仿宋" w:eastAsia="仿宋" w:cs="仿宋"/>
          <w:i w:val="0"/>
          <w:iCs w:val="0"/>
          <w:caps w:val="0"/>
          <w:spacing w:val="8"/>
          <w:sz w:val="32"/>
          <w:szCs w:val="32"/>
          <w:shd w:val="clear" w:fill="FFFFFF"/>
        </w:rPr>
        <w:t>有效防范和</w:t>
      </w:r>
      <w:r>
        <w:rPr>
          <w:rFonts w:hint="eastAsia" w:ascii="仿宋" w:hAnsi="仿宋" w:eastAsia="仿宋" w:cs="仿宋"/>
          <w:sz w:val="32"/>
          <w:szCs w:val="32"/>
        </w:rPr>
        <w:t>遏制虚假登记</w:t>
      </w:r>
      <w:r>
        <w:rPr>
          <w:rFonts w:hint="eastAsia" w:ascii="仿宋" w:hAnsi="仿宋" w:eastAsia="仿宋" w:cs="仿宋"/>
          <w:i w:val="0"/>
          <w:iCs w:val="0"/>
          <w:caps w:val="0"/>
          <w:spacing w:val="8"/>
          <w:sz w:val="32"/>
          <w:szCs w:val="32"/>
          <w:shd w:val="clear" w:fill="FFFFFF"/>
        </w:rPr>
        <w:t>行为</w:t>
      </w:r>
      <w:r>
        <w:rPr>
          <w:rFonts w:hint="eastAsia" w:ascii="仿宋" w:hAnsi="仿宋" w:eastAsia="仿宋" w:cs="仿宋"/>
          <w:i w:val="0"/>
          <w:iCs w:val="0"/>
          <w:caps w:val="0"/>
          <w:spacing w:val="8"/>
          <w:sz w:val="32"/>
          <w:szCs w:val="32"/>
          <w:shd w:val="clear" w:fill="FFFFFF"/>
          <w:lang w:val="en-US" w:eastAsia="zh-CN"/>
        </w:rPr>
        <w:t>,推进注册</w:t>
      </w:r>
      <w:r>
        <w:rPr>
          <w:rFonts w:hint="eastAsia" w:ascii="仿宋" w:hAnsi="仿宋" w:eastAsia="仿宋" w:cs="仿宋"/>
          <w:color w:val="000000" w:themeColor="text1"/>
          <w:sz w:val="32"/>
          <w:szCs w:val="32"/>
          <w:lang w:val="en-US" w:eastAsia="zh-CN" w:bidi="ar-SA"/>
          <w14:textFill>
            <w14:solidFill>
              <w14:schemeClr w14:val="tx1"/>
            </w14:solidFill>
          </w14:textFill>
        </w:rPr>
        <w:t>登记便利化，泰安市</w:t>
      </w:r>
      <w:r>
        <w:rPr>
          <w:rFonts w:hint="eastAsia" w:ascii="仿宋" w:hAnsi="仿宋" w:eastAsia="仿宋" w:cs="仿宋"/>
          <w:sz w:val="32"/>
          <w:szCs w:val="32"/>
        </w:rPr>
        <w:t>探索</w:t>
      </w:r>
      <w:r>
        <w:rPr>
          <w:rFonts w:hint="eastAsia" w:ascii="仿宋" w:hAnsi="仿宋" w:eastAsia="仿宋" w:cs="仿宋"/>
          <w:sz w:val="32"/>
          <w:szCs w:val="32"/>
          <w:lang w:eastAsia="zh-CN"/>
        </w:rPr>
        <w:t>市场</w:t>
      </w:r>
      <w:r>
        <w:rPr>
          <w:rFonts w:hint="eastAsia" w:ascii="仿宋" w:hAnsi="仿宋" w:eastAsia="仿宋" w:cs="仿宋"/>
          <w:sz w:val="32"/>
          <w:szCs w:val="32"/>
        </w:rPr>
        <w:t>主体住所（</w:t>
      </w:r>
      <w:r>
        <w:rPr>
          <w:rFonts w:hint="eastAsia" w:ascii="仿宋" w:hAnsi="仿宋" w:eastAsia="仿宋" w:cs="仿宋"/>
          <w:sz w:val="32"/>
          <w:szCs w:val="32"/>
          <w:lang w:eastAsia="zh-CN"/>
        </w:rPr>
        <w:t>经营</w:t>
      </w:r>
      <w:r>
        <w:rPr>
          <w:rFonts w:hint="eastAsia" w:ascii="仿宋" w:hAnsi="仿宋" w:eastAsia="仿宋" w:cs="仿宋"/>
          <w:sz w:val="32"/>
          <w:szCs w:val="32"/>
        </w:rPr>
        <w:t>场所）标准化登记试点改革</w:t>
      </w:r>
      <w:r>
        <w:rPr>
          <w:rFonts w:hint="eastAsia" w:ascii="仿宋" w:hAnsi="仿宋" w:eastAsia="仿宋" w:cs="仿宋"/>
          <w:sz w:val="32"/>
          <w:szCs w:val="32"/>
          <w:lang w:eastAsia="zh-CN"/>
        </w:rPr>
        <w:t>，建立</w:t>
      </w:r>
      <w:r>
        <w:rPr>
          <w:rFonts w:hint="eastAsia" w:ascii="仿宋" w:hAnsi="仿宋" w:eastAsia="仿宋" w:cs="仿宋"/>
          <w:sz w:val="32"/>
          <w:szCs w:val="32"/>
        </w:rPr>
        <w:t>了</w:t>
      </w:r>
      <w:r>
        <w:rPr>
          <w:rFonts w:hint="eastAsia" w:ascii="仿宋" w:hAnsi="仿宋" w:eastAsia="仿宋" w:cs="仿宋"/>
          <w:sz w:val="32"/>
          <w:szCs w:val="32"/>
          <w:lang w:eastAsia="zh-CN"/>
        </w:rPr>
        <w:t>市场主体</w:t>
      </w:r>
      <w:r>
        <w:rPr>
          <w:rFonts w:hint="eastAsia" w:ascii="仿宋" w:hAnsi="仿宋" w:eastAsia="仿宋" w:cs="仿宋"/>
          <w:sz w:val="32"/>
          <w:szCs w:val="32"/>
        </w:rPr>
        <w:t>住所（</w:t>
      </w:r>
      <w:r>
        <w:rPr>
          <w:rFonts w:hint="eastAsia" w:ascii="仿宋" w:hAnsi="仿宋" w:eastAsia="仿宋" w:cs="仿宋"/>
          <w:sz w:val="32"/>
          <w:szCs w:val="32"/>
          <w:lang w:eastAsia="zh-CN"/>
        </w:rPr>
        <w:t>经营</w:t>
      </w:r>
      <w:r>
        <w:rPr>
          <w:rFonts w:hint="eastAsia" w:ascii="仿宋" w:hAnsi="仿宋" w:eastAsia="仿宋" w:cs="仿宋"/>
          <w:sz w:val="32"/>
          <w:szCs w:val="32"/>
        </w:rPr>
        <w:t>场所）</w:t>
      </w:r>
      <w:r>
        <w:rPr>
          <w:rFonts w:hint="eastAsia" w:ascii="仿宋" w:hAnsi="仿宋" w:eastAsia="仿宋" w:cs="仿宋"/>
          <w:sz w:val="32"/>
          <w:szCs w:val="32"/>
          <w:lang w:eastAsia="zh-CN"/>
        </w:rPr>
        <w:t>标准地址库</w:t>
      </w:r>
      <w:r>
        <w:rPr>
          <w:rFonts w:hint="eastAsia" w:ascii="仿宋" w:hAnsi="仿宋" w:eastAsia="仿宋" w:cs="仿宋"/>
          <w:sz w:val="32"/>
          <w:szCs w:val="32"/>
        </w:rPr>
        <w:t>。</w:t>
      </w:r>
      <w:r>
        <w:rPr>
          <w:rFonts w:hint="eastAsia" w:ascii="仿宋" w:hAnsi="仿宋" w:eastAsia="仿宋" w:cs="仿宋"/>
          <w:sz w:val="32"/>
          <w:szCs w:val="32"/>
          <w:lang w:eastAsia="zh-CN"/>
        </w:rPr>
        <w:t>为进一步明确</w:t>
      </w:r>
      <w:r>
        <w:rPr>
          <w:rFonts w:hint="eastAsia" w:ascii="仿宋" w:hAnsi="仿宋" w:eastAsia="仿宋" w:cs="仿宋"/>
          <w:sz w:val="32"/>
          <w:szCs w:val="32"/>
        </w:rPr>
        <w:t>住所（</w:t>
      </w:r>
      <w:r>
        <w:rPr>
          <w:rFonts w:hint="eastAsia" w:ascii="仿宋" w:hAnsi="仿宋" w:eastAsia="仿宋" w:cs="仿宋"/>
          <w:sz w:val="32"/>
          <w:szCs w:val="32"/>
          <w:lang w:eastAsia="zh-CN"/>
        </w:rPr>
        <w:t>经营</w:t>
      </w:r>
      <w:r>
        <w:rPr>
          <w:rFonts w:hint="eastAsia" w:ascii="仿宋" w:hAnsi="仿宋" w:eastAsia="仿宋" w:cs="仿宋"/>
          <w:sz w:val="32"/>
          <w:szCs w:val="32"/>
        </w:rPr>
        <w:t>场所）</w:t>
      </w:r>
      <w:r>
        <w:rPr>
          <w:rFonts w:hint="eastAsia" w:ascii="仿宋" w:hAnsi="仿宋" w:eastAsia="仿宋" w:cs="仿宋"/>
          <w:color w:val="000000" w:themeColor="text1"/>
          <w:sz w:val="32"/>
          <w:szCs w:val="32"/>
          <w:lang w:val="en-US" w:eastAsia="zh-CN" w:bidi="ar-SA"/>
          <w14:textFill>
            <w14:solidFill>
              <w14:schemeClr w14:val="tx1"/>
            </w14:solidFill>
          </w14:textFill>
        </w:rPr>
        <w:t>托管地址管理情况，制定该工作指引，请参照执行</w:t>
      </w:r>
      <w:r>
        <w:rPr>
          <w:rFonts w:hint="eastAsia" w:ascii="仿宋" w:hAnsi="仿宋" w:eastAsia="仿宋" w:cs="仿宋"/>
          <w:color w:val="000000" w:themeColor="text1"/>
          <w:sz w:val="32"/>
          <w:szCs w:val="32"/>
          <w:lang w:val="en-US" w:eastAsia="en-US" w:bidi="ar-SA"/>
          <w14:textFill>
            <w14:solidFill>
              <w14:schemeClr w14:val="tx1"/>
            </w14:solidFill>
          </w14:textFill>
        </w:rPr>
        <w:t>。</w:t>
      </w:r>
    </w:p>
    <w:p>
      <w:pPr>
        <w:pStyle w:val="5"/>
        <w:numPr>
          <w:ilvl w:val="0"/>
          <w:numId w:val="1"/>
        </w:numPr>
        <w:spacing w:before="37" w:line="333" w:lineRule="auto"/>
        <w:ind w:right="231" w:firstLine="301" w:firstLineChars="100"/>
        <w:jc w:val="both"/>
        <w:rPr>
          <w:rFonts w:hint="default" w:cs="仿宋_GB2312"/>
          <w:b/>
          <w:bCs w:val="0"/>
          <w:color w:val="000000" w:themeColor="text1"/>
          <w:spacing w:val="-10"/>
          <w:lang w:val="en-US" w:eastAsia="zh-CN"/>
          <w14:textFill>
            <w14:solidFill>
              <w14:schemeClr w14:val="tx1"/>
            </w14:solidFill>
          </w14:textFill>
        </w:rPr>
      </w:pPr>
      <w:r>
        <w:rPr>
          <w:rFonts w:hint="eastAsia" w:cs="仿宋_GB2312"/>
          <w:b/>
          <w:bCs w:val="0"/>
          <w:color w:val="000000" w:themeColor="text1"/>
          <w:spacing w:val="-10"/>
          <w:lang w:val="en-US" w:eastAsia="zh-CN"/>
          <w14:textFill>
            <w14:solidFill>
              <w14:schemeClr w14:val="tx1"/>
            </w14:solidFill>
          </w14:textFill>
        </w:rPr>
        <w:t>定义：</w:t>
      </w:r>
    </w:p>
    <w:p>
      <w:pPr>
        <w:pStyle w:val="5"/>
        <w:spacing w:before="1" w:line="316" w:lineRule="auto"/>
        <w:ind w:left="106" w:right="187" w:firstLine="640"/>
        <w:jc w:val="both"/>
        <w:rPr>
          <w:rFonts w:hint="default"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一）托管地址备案是指住所管理方自愿将受托管的在泰安市辖区范围内产权清晰、集中管理或能够实现集中申报的住所（经营场所）地址，向登记机关申请且经登记机关审核通过后同意纳入标准化地址库的过程。</w:t>
      </w:r>
    </w:p>
    <w:p>
      <w:pPr>
        <w:pStyle w:val="5"/>
        <w:spacing w:before="1" w:line="316" w:lineRule="auto"/>
        <w:ind w:left="106" w:right="187" w:firstLine="640"/>
        <w:jc w:val="both"/>
        <w:rPr>
          <w:rFonts w:hint="default"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（二）申报承诺制是指</w:t>
      </w:r>
      <w:r>
        <w:rPr>
          <w:rFonts w:hint="eastAsia" w:ascii="仿宋" w:hAnsi="仿宋" w:eastAsia="仿宋" w:cs="仿宋"/>
          <w:i w:val="0"/>
          <w:iCs w:val="0"/>
          <w:caps w:val="0"/>
          <w:spacing w:val="8"/>
          <w:sz w:val="32"/>
          <w:szCs w:val="32"/>
          <w:highlight w:val="none"/>
          <w:shd w:val="clear" w:fill="FFFFFF"/>
          <w:lang w:val="en-US" w:eastAsia="zh-CN"/>
        </w:rPr>
        <w:t>住所（经营场所）管理方在纳入标准化地址库时，依法提交相关证明材料后，</w:t>
      </w:r>
      <w:r>
        <w:rPr>
          <w:rFonts w:hint="eastAsia" w:ascii="仿宋" w:hAnsi="仿宋" w:eastAsia="仿宋" w:cs="仿宋"/>
          <w:i w:val="0"/>
          <w:iCs w:val="0"/>
          <w:caps w:val="0"/>
          <w:spacing w:val="8"/>
          <w:sz w:val="32"/>
          <w:szCs w:val="32"/>
          <w:shd w:val="clear" w:fill="FFFFFF"/>
          <w:lang w:val="en-US" w:eastAsia="zh-CN"/>
        </w:rPr>
        <w:t>并作出承诺对住所（经营场所）的真实性、合法性和有效性负责，</w:t>
      </w:r>
      <w:r>
        <w:rPr>
          <w:rFonts w:hint="eastAsia" w:ascii="仿宋" w:hAnsi="仿宋" w:eastAsia="仿宋" w:cs="仿宋"/>
          <w:i w:val="0"/>
          <w:iCs w:val="0"/>
          <w:caps w:val="0"/>
          <w:spacing w:val="8"/>
          <w:sz w:val="32"/>
          <w:szCs w:val="32"/>
          <w:highlight w:val="none"/>
          <w:shd w:val="clear" w:fill="FFFFFF"/>
          <w:lang w:val="en-US" w:eastAsia="zh-CN"/>
        </w:rPr>
        <w:t>住所（经营场所）管理方实行申报承诺制，申请人办理注册登记时，可以不再重复</w:t>
      </w:r>
      <w:r>
        <w:rPr>
          <w:rFonts w:hint="eastAsia" w:ascii="仿宋" w:hAnsi="仿宋" w:eastAsia="仿宋" w:cs="仿宋"/>
          <w:i w:val="0"/>
          <w:iCs w:val="0"/>
          <w:caps w:val="0"/>
          <w:spacing w:val="8"/>
          <w:sz w:val="32"/>
          <w:szCs w:val="32"/>
          <w:shd w:val="clear" w:fill="FFFFFF"/>
          <w:lang w:val="en-US" w:eastAsia="zh-CN"/>
        </w:rPr>
        <w:t>提交承诺书。</w:t>
      </w:r>
    </w:p>
    <w:p>
      <w:pPr>
        <w:pStyle w:val="5"/>
        <w:spacing w:before="37" w:line="333" w:lineRule="auto"/>
        <w:ind w:right="231"/>
        <w:jc w:val="both"/>
        <w:rPr>
          <w:rFonts w:hint="eastAsia" w:cs="仿宋_GB2312"/>
          <w:b/>
          <w:bCs/>
          <w:color w:val="000000" w:themeColor="text1"/>
          <w:sz w:val="32"/>
          <w:szCs w:val="32"/>
          <w:lang w:val="en-US" w:eastAsia="zh-CN" w:bidi="ar-SA"/>
          <w14:textFill>
            <w14:solidFill>
              <w14:schemeClr w14:val="tx1"/>
            </w14:solidFill>
          </w14:textFill>
        </w:rPr>
      </w:pPr>
      <w:r>
        <w:rPr>
          <w:rFonts w:hint="eastAsia" w:ascii="仿宋" w:hAnsi="仿宋" w:eastAsia="仿宋" w:cs="仿宋"/>
          <w:b/>
          <w:bCs/>
          <w:kern w:val="2"/>
          <w:sz w:val="32"/>
          <w:szCs w:val="32"/>
          <w:lang w:val="en-US" w:eastAsia="zh-CN" w:bidi="ar-SA"/>
        </w:rPr>
        <w:t>二、适用</w:t>
      </w:r>
      <w:r>
        <w:rPr>
          <w:rFonts w:hint="eastAsia" w:cs="仿宋_GB2312"/>
          <w:b/>
          <w:bCs/>
          <w:color w:val="000000" w:themeColor="text1"/>
          <w:sz w:val="32"/>
          <w:szCs w:val="32"/>
          <w:lang w:val="en-US" w:eastAsia="zh-CN" w:bidi="ar-SA"/>
          <w14:textFill>
            <w14:solidFill>
              <w14:schemeClr w14:val="tx1"/>
            </w14:solidFill>
          </w14:textFill>
        </w:rPr>
        <w:t>范围：</w:t>
      </w:r>
    </w:p>
    <w:p>
      <w:pPr>
        <w:pStyle w:val="5"/>
        <w:spacing w:before="1" w:line="316" w:lineRule="auto"/>
        <w:ind w:left="106" w:right="187" w:firstLine="640"/>
        <w:jc w:val="both"/>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lang w:val="en-US" w:eastAsia="zh-CN"/>
        </w:rPr>
        <w:t>（一）泰安市辖区范围内产权清晰、集中管理的商业综合体、大型商超、创业孵化基地 (创业园区)、产业园区、写字楼宇、社区等</w:t>
      </w:r>
      <w:r>
        <w:rPr>
          <w:rFonts w:hint="eastAsia" w:ascii="仿宋" w:hAnsi="仿宋" w:eastAsia="仿宋" w:cs="仿宋"/>
          <w:i w:val="0"/>
          <w:iCs w:val="0"/>
          <w:caps w:val="0"/>
          <w:spacing w:val="8"/>
          <w:sz w:val="32"/>
          <w:szCs w:val="32"/>
          <w:shd w:val="clear" w:fill="FFFFFF"/>
        </w:rPr>
        <w:t>。</w:t>
      </w:r>
    </w:p>
    <w:p>
      <w:pPr>
        <w:pStyle w:val="5"/>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（二）法律、法规对市场主体住所（经营场所）另有规定的，从其规定。</w:t>
      </w:r>
    </w:p>
    <w:p>
      <w:pPr>
        <w:pStyle w:val="5"/>
        <w:spacing w:before="37" w:line="333" w:lineRule="auto"/>
        <w:ind w:right="231"/>
        <w:jc w:val="both"/>
        <w:rPr>
          <w:rFonts w:hint="eastAsia" w:cs="仿宋_GB2312"/>
          <w:b/>
          <w:bCs/>
          <w:color w:val="000000" w:themeColor="text1"/>
          <w:sz w:val="32"/>
          <w:szCs w:val="32"/>
          <w:lang w:val="en-US" w:eastAsia="zh-CN"/>
          <w14:textFill>
            <w14:solidFill>
              <w14:schemeClr w14:val="tx1"/>
            </w14:solidFill>
          </w14:textFill>
        </w:rPr>
      </w:pPr>
      <w:r>
        <w:rPr>
          <w:rFonts w:hint="eastAsia" w:cs="仿宋_GB2312"/>
          <w:b/>
          <w:bCs/>
          <w:color w:val="000000" w:themeColor="text1"/>
          <w:sz w:val="32"/>
          <w:szCs w:val="32"/>
          <w:lang w:val="en-US" w:eastAsia="zh-CN"/>
          <w14:textFill>
            <w14:solidFill>
              <w14:schemeClr w14:val="tx1"/>
            </w14:solidFill>
          </w14:textFill>
        </w:rPr>
        <w:t>三、住所管理方应具备以下条件：</w:t>
      </w:r>
    </w:p>
    <w:p>
      <w:pPr>
        <w:pStyle w:val="5"/>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en-US"/>
        </w:rPr>
        <w:t>（一）</w:t>
      </w:r>
      <w:r>
        <w:rPr>
          <w:rFonts w:hint="eastAsia" w:ascii="仿宋" w:hAnsi="仿宋" w:eastAsia="仿宋" w:cs="仿宋"/>
          <w:i w:val="0"/>
          <w:iCs w:val="0"/>
          <w:caps w:val="0"/>
          <w:spacing w:val="8"/>
          <w:sz w:val="32"/>
          <w:szCs w:val="32"/>
          <w:shd w:val="clear" w:fill="FFFFFF"/>
          <w:lang w:val="en-US" w:eastAsia="zh-CN"/>
        </w:rPr>
        <w:t>应具备合法的主体资格。</w:t>
      </w:r>
    </w:p>
    <w:p>
      <w:pPr>
        <w:pStyle w:val="5"/>
        <w:spacing w:before="1" w:line="316" w:lineRule="auto"/>
        <w:ind w:left="106" w:right="187" w:firstLine="640"/>
        <w:jc w:val="both"/>
        <w:rPr>
          <w:rFonts w:hint="eastAsia" w:ascii="仿宋" w:hAnsi="仿宋" w:eastAsia="仿宋" w:cs="仿宋"/>
          <w:i w:val="0"/>
          <w:iCs w:val="0"/>
          <w:caps w:val="0"/>
          <w:color w:val="auto"/>
          <w:spacing w:val="8"/>
          <w:sz w:val="32"/>
          <w:szCs w:val="32"/>
          <w:highlight w:val="none"/>
          <w:shd w:val="clear" w:fill="FFFFFF"/>
          <w:lang w:val="en-US" w:eastAsia="en-US"/>
        </w:rPr>
      </w:pPr>
      <w:r>
        <w:rPr>
          <w:rFonts w:hint="eastAsia" w:ascii="仿宋" w:hAnsi="仿宋" w:eastAsia="仿宋" w:cs="仿宋"/>
          <w:i w:val="0"/>
          <w:iCs w:val="0"/>
          <w:caps w:val="0"/>
          <w:color w:val="auto"/>
          <w:spacing w:val="8"/>
          <w:sz w:val="32"/>
          <w:szCs w:val="32"/>
          <w:highlight w:val="none"/>
          <w:shd w:val="clear" w:fill="FFFFFF"/>
          <w:lang w:val="en-US" w:eastAsia="zh-CN"/>
        </w:rPr>
        <w:t>（二）所提供住所（经营场所）与市场活动相适应的真实、合法、有效、安全的固定场所</w:t>
      </w:r>
      <w:r>
        <w:rPr>
          <w:rFonts w:hint="eastAsia" w:ascii="仿宋" w:hAnsi="仿宋" w:eastAsia="仿宋" w:cs="仿宋"/>
          <w:i w:val="0"/>
          <w:iCs w:val="0"/>
          <w:caps w:val="0"/>
          <w:color w:val="auto"/>
          <w:spacing w:val="8"/>
          <w:sz w:val="32"/>
          <w:szCs w:val="32"/>
          <w:highlight w:val="none"/>
          <w:shd w:val="clear" w:fill="FFFFFF"/>
          <w:lang w:val="en-US" w:eastAsia="en-US"/>
        </w:rPr>
        <w:t>，且不属于违法</w:t>
      </w:r>
      <w:r>
        <w:rPr>
          <w:rFonts w:hint="eastAsia" w:ascii="仿宋" w:hAnsi="仿宋" w:eastAsia="仿宋" w:cs="仿宋"/>
          <w:i w:val="0"/>
          <w:iCs w:val="0"/>
          <w:caps w:val="0"/>
          <w:color w:val="auto"/>
          <w:spacing w:val="8"/>
          <w:sz w:val="32"/>
          <w:szCs w:val="32"/>
          <w:highlight w:val="none"/>
          <w:shd w:val="clear" w:fill="FFFFFF"/>
          <w:lang w:val="en-US" w:eastAsia="zh-CN"/>
        </w:rPr>
        <w:t>或危险的</w:t>
      </w:r>
      <w:r>
        <w:rPr>
          <w:rFonts w:hint="eastAsia" w:ascii="仿宋" w:hAnsi="仿宋" w:eastAsia="仿宋" w:cs="仿宋"/>
          <w:i w:val="0"/>
          <w:iCs w:val="0"/>
          <w:caps w:val="0"/>
          <w:color w:val="auto"/>
          <w:spacing w:val="8"/>
          <w:sz w:val="32"/>
          <w:szCs w:val="32"/>
          <w:highlight w:val="none"/>
          <w:shd w:val="clear" w:fill="FFFFFF"/>
          <w:lang w:val="en-US" w:eastAsia="en-US"/>
        </w:rPr>
        <w:t>建筑</w:t>
      </w:r>
      <w:r>
        <w:rPr>
          <w:rFonts w:hint="eastAsia" w:ascii="仿宋" w:hAnsi="仿宋" w:eastAsia="仿宋" w:cs="仿宋"/>
          <w:i w:val="0"/>
          <w:iCs w:val="0"/>
          <w:caps w:val="0"/>
          <w:color w:val="auto"/>
          <w:spacing w:val="8"/>
          <w:sz w:val="32"/>
          <w:szCs w:val="32"/>
          <w:highlight w:val="none"/>
          <w:shd w:val="clear" w:fill="FFFFFF"/>
          <w:lang w:val="en-US" w:eastAsia="zh-CN"/>
        </w:rPr>
        <w:t>，未</w:t>
      </w:r>
      <w:r>
        <w:rPr>
          <w:rFonts w:hint="eastAsia" w:ascii="仿宋" w:hAnsi="仿宋" w:eastAsia="仿宋" w:cs="仿宋"/>
          <w:i w:val="0"/>
          <w:iCs w:val="0"/>
          <w:caps w:val="0"/>
          <w:color w:val="auto"/>
          <w:spacing w:val="8"/>
          <w:sz w:val="32"/>
          <w:szCs w:val="32"/>
          <w:highlight w:val="none"/>
          <w:shd w:val="clear" w:fill="FFFFFF"/>
          <w:lang w:val="en-US" w:eastAsia="en-US"/>
        </w:rPr>
        <w:t>纳入</w:t>
      </w:r>
      <w:r>
        <w:rPr>
          <w:rFonts w:hint="eastAsia" w:ascii="仿宋" w:hAnsi="仿宋" w:eastAsia="仿宋" w:cs="仿宋"/>
          <w:i w:val="0"/>
          <w:iCs w:val="0"/>
          <w:caps w:val="0"/>
          <w:color w:val="auto"/>
          <w:spacing w:val="8"/>
          <w:sz w:val="32"/>
          <w:szCs w:val="32"/>
          <w:highlight w:val="none"/>
          <w:shd w:val="clear" w:fill="FFFFFF"/>
          <w:lang w:val="en-US" w:eastAsia="zh-CN"/>
        </w:rPr>
        <w:t>行政</w:t>
      </w:r>
      <w:r>
        <w:rPr>
          <w:rFonts w:hint="eastAsia" w:ascii="仿宋" w:hAnsi="仿宋" w:eastAsia="仿宋" w:cs="仿宋"/>
          <w:i w:val="0"/>
          <w:iCs w:val="0"/>
          <w:caps w:val="0"/>
          <w:color w:val="auto"/>
          <w:spacing w:val="8"/>
          <w:sz w:val="32"/>
          <w:szCs w:val="32"/>
          <w:highlight w:val="none"/>
          <w:shd w:val="clear" w:fill="FFFFFF"/>
          <w:lang w:val="en-US" w:eastAsia="en-US"/>
        </w:rPr>
        <w:t>征收范围的建筑</w:t>
      </w:r>
      <w:r>
        <w:rPr>
          <w:rFonts w:hint="eastAsia" w:ascii="仿宋" w:hAnsi="仿宋" w:eastAsia="仿宋" w:cs="仿宋"/>
          <w:i w:val="0"/>
          <w:iCs w:val="0"/>
          <w:caps w:val="0"/>
          <w:color w:val="auto"/>
          <w:spacing w:val="8"/>
          <w:sz w:val="32"/>
          <w:szCs w:val="32"/>
          <w:highlight w:val="none"/>
          <w:shd w:val="clear" w:fill="FFFFFF"/>
          <w:lang w:val="en-US" w:eastAsia="zh-CN"/>
        </w:rPr>
        <w:t>，已竣工验收合格的房屋</w:t>
      </w:r>
      <w:r>
        <w:rPr>
          <w:rFonts w:hint="eastAsia" w:ascii="仿宋" w:hAnsi="仿宋" w:eastAsia="仿宋" w:cs="仿宋"/>
          <w:i w:val="0"/>
          <w:iCs w:val="0"/>
          <w:caps w:val="0"/>
          <w:color w:val="auto"/>
          <w:spacing w:val="8"/>
          <w:sz w:val="32"/>
          <w:szCs w:val="32"/>
          <w:highlight w:val="none"/>
          <w:shd w:val="clear" w:fill="FFFFFF"/>
          <w:lang w:val="en-US" w:eastAsia="en-US"/>
        </w:rPr>
        <w:t>以及</w:t>
      </w:r>
      <w:r>
        <w:rPr>
          <w:rFonts w:hint="eastAsia" w:ascii="仿宋" w:hAnsi="仿宋" w:eastAsia="仿宋" w:cs="仿宋"/>
          <w:i w:val="0"/>
          <w:iCs w:val="0"/>
          <w:caps w:val="0"/>
          <w:color w:val="auto"/>
          <w:spacing w:val="8"/>
          <w:sz w:val="32"/>
          <w:szCs w:val="32"/>
          <w:highlight w:val="none"/>
          <w:shd w:val="clear" w:fill="FFFFFF"/>
          <w:lang w:val="en-US" w:eastAsia="zh-CN"/>
        </w:rPr>
        <w:t>不在</w:t>
      </w:r>
      <w:r>
        <w:rPr>
          <w:rFonts w:hint="eastAsia" w:ascii="仿宋" w:hAnsi="仿宋" w:eastAsia="仿宋" w:cs="仿宋"/>
          <w:i w:val="0"/>
          <w:iCs w:val="0"/>
          <w:caps w:val="0"/>
          <w:color w:val="auto"/>
          <w:spacing w:val="8"/>
          <w:sz w:val="32"/>
          <w:szCs w:val="32"/>
          <w:highlight w:val="none"/>
          <w:shd w:val="clear" w:fill="FFFFFF"/>
          <w:lang w:val="en-US" w:eastAsia="en-US"/>
        </w:rPr>
        <w:t>法律、法规规定禁止用于</w:t>
      </w:r>
      <w:r>
        <w:rPr>
          <w:rFonts w:hint="eastAsia" w:ascii="仿宋" w:hAnsi="仿宋" w:eastAsia="仿宋" w:cs="仿宋"/>
          <w:i w:val="0"/>
          <w:iCs w:val="0"/>
          <w:caps w:val="0"/>
          <w:color w:val="auto"/>
          <w:spacing w:val="8"/>
          <w:sz w:val="32"/>
          <w:szCs w:val="32"/>
          <w:highlight w:val="none"/>
          <w:shd w:val="clear" w:fill="FFFFFF"/>
          <w:lang w:val="en-US" w:eastAsia="zh-CN"/>
        </w:rPr>
        <w:t>经营</w:t>
      </w:r>
      <w:r>
        <w:rPr>
          <w:rFonts w:hint="eastAsia" w:ascii="仿宋" w:hAnsi="仿宋" w:eastAsia="仿宋" w:cs="仿宋"/>
          <w:i w:val="0"/>
          <w:iCs w:val="0"/>
          <w:caps w:val="0"/>
          <w:color w:val="auto"/>
          <w:spacing w:val="8"/>
          <w:sz w:val="32"/>
          <w:szCs w:val="32"/>
          <w:highlight w:val="none"/>
          <w:shd w:val="clear" w:fill="FFFFFF"/>
          <w:lang w:val="en-US" w:eastAsia="en-US"/>
        </w:rPr>
        <w:t>活动的建筑；</w:t>
      </w:r>
    </w:p>
    <w:p>
      <w:pPr>
        <w:pStyle w:val="5"/>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en-US"/>
        </w:rPr>
      </w:pPr>
      <w:r>
        <w:rPr>
          <w:rFonts w:hint="eastAsia" w:ascii="仿宋" w:hAnsi="仿宋" w:eastAsia="仿宋" w:cs="仿宋"/>
          <w:i w:val="0"/>
          <w:iCs w:val="0"/>
          <w:caps w:val="0"/>
          <w:spacing w:val="8"/>
          <w:sz w:val="32"/>
          <w:szCs w:val="32"/>
          <w:shd w:val="clear" w:fill="FFFFFF"/>
          <w:lang w:val="en-US" w:eastAsia="en-US"/>
        </w:rPr>
        <w:t>（</w:t>
      </w:r>
      <w:r>
        <w:rPr>
          <w:rFonts w:hint="eastAsia" w:ascii="仿宋" w:hAnsi="仿宋" w:eastAsia="仿宋" w:cs="仿宋"/>
          <w:i w:val="0"/>
          <w:iCs w:val="0"/>
          <w:caps w:val="0"/>
          <w:spacing w:val="8"/>
          <w:sz w:val="32"/>
          <w:szCs w:val="32"/>
          <w:shd w:val="clear" w:fill="FFFFFF"/>
          <w:lang w:val="en-US" w:eastAsia="zh-CN"/>
        </w:rPr>
        <w:t>三</w:t>
      </w:r>
      <w:r>
        <w:rPr>
          <w:rFonts w:hint="eastAsia" w:ascii="仿宋" w:hAnsi="仿宋" w:eastAsia="仿宋" w:cs="仿宋"/>
          <w:i w:val="0"/>
          <w:iCs w:val="0"/>
          <w:caps w:val="0"/>
          <w:spacing w:val="8"/>
          <w:sz w:val="32"/>
          <w:szCs w:val="32"/>
          <w:shd w:val="clear" w:fill="FFFFFF"/>
          <w:lang w:val="en-US" w:eastAsia="en-US"/>
        </w:rPr>
        <w:t>）</w:t>
      </w:r>
      <w:r>
        <w:rPr>
          <w:rFonts w:hint="eastAsia" w:ascii="仿宋" w:hAnsi="仿宋" w:eastAsia="仿宋" w:cs="仿宋"/>
          <w:i w:val="0"/>
          <w:iCs w:val="0"/>
          <w:caps w:val="0"/>
          <w:spacing w:val="8"/>
          <w:sz w:val="32"/>
          <w:szCs w:val="32"/>
          <w:shd w:val="clear" w:fill="FFFFFF"/>
          <w:lang w:val="en-US" w:eastAsia="zh-CN"/>
        </w:rPr>
        <w:t>应当</w:t>
      </w:r>
      <w:r>
        <w:rPr>
          <w:rFonts w:hint="eastAsia" w:ascii="仿宋" w:hAnsi="仿宋" w:eastAsia="仿宋" w:cs="仿宋"/>
          <w:i w:val="0"/>
          <w:iCs w:val="0"/>
          <w:caps w:val="0"/>
          <w:spacing w:val="8"/>
          <w:sz w:val="32"/>
          <w:szCs w:val="32"/>
          <w:shd w:val="clear" w:fill="FFFFFF"/>
          <w:lang w:val="en-US" w:eastAsia="en-US"/>
        </w:rPr>
        <w:t>配备服务管理人员</w:t>
      </w:r>
      <w:r>
        <w:rPr>
          <w:rFonts w:hint="eastAsia" w:ascii="仿宋" w:hAnsi="仿宋" w:eastAsia="仿宋" w:cs="仿宋"/>
          <w:i w:val="0"/>
          <w:iCs w:val="0"/>
          <w:caps w:val="0"/>
          <w:spacing w:val="8"/>
          <w:sz w:val="32"/>
          <w:szCs w:val="32"/>
          <w:shd w:val="clear" w:fill="FFFFFF"/>
          <w:lang w:val="en-US" w:eastAsia="zh-CN"/>
        </w:rPr>
        <w:t>，且有完善的管理体系，能够提供地址托管等服务</w:t>
      </w:r>
      <w:r>
        <w:rPr>
          <w:rFonts w:hint="eastAsia" w:ascii="仿宋" w:hAnsi="仿宋" w:eastAsia="仿宋" w:cs="仿宋"/>
          <w:i w:val="0"/>
          <w:iCs w:val="0"/>
          <w:caps w:val="0"/>
          <w:spacing w:val="8"/>
          <w:sz w:val="32"/>
          <w:szCs w:val="32"/>
          <w:shd w:val="clear" w:fill="FFFFFF"/>
          <w:lang w:val="en-US" w:eastAsia="en-US"/>
        </w:rPr>
        <w:t>；</w:t>
      </w:r>
    </w:p>
    <w:p>
      <w:pPr>
        <w:pStyle w:val="5"/>
        <w:spacing w:before="1" w:line="316" w:lineRule="auto"/>
        <w:ind w:left="106" w:right="187" w:firstLine="640"/>
        <w:jc w:val="both"/>
        <w:rPr>
          <w:rFonts w:hint="eastAsia" w:cs="仿宋_GB2312"/>
          <w:color w:val="000000" w:themeColor="text1"/>
          <w:sz w:val="32"/>
          <w:szCs w:val="32"/>
          <w:lang w:val="en-US" w:eastAsia="zh-CN" w:bidi="ar-SA"/>
          <w14:textFill>
            <w14:solidFill>
              <w14:schemeClr w14:val="tx1"/>
            </w14:solidFill>
          </w14:textFill>
        </w:rPr>
      </w:pPr>
      <w:r>
        <w:rPr>
          <w:rFonts w:hint="eastAsia" w:ascii="仿宋" w:hAnsi="仿宋" w:eastAsia="仿宋" w:cs="仿宋"/>
          <w:i w:val="0"/>
          <w:iCs w:val="0"/>
          <w:caps w:val="0"/>
          <w:spacing w:val="8"/>
          <w:sz w:val="32"/>
          <w:szCs w:val="32"/>
          <w:shd w:val="clear" w:fill="FFFFFF"/>
          <w:lang w:val="en-US" w:eastAsia="en-US"/>
        </w:rPr>
        <w:t>（</w:t>
      </w:r>
      <w:r>
        <w:rPr>
          <w:rFonts w:hint="eastAsia" w:ascii="仿宋" w:hAnsi="仿宋" w:eastAsia="仿宋" w:cs="仿宋"/>
          <w:i w:val="0"/>
          <w:iCs w:val="0"/>
          <w:caps w:val="0"/>
          <w:spacing w:val="8"/>
          <w:sz w:val="32"/>
          <w:szCs w:val="32"/>
          <w:shd w:val="clear" w:fill="FFFFFF"/>
          <w:lang w:val="en-US" w:eastAsia="zh-CN"/>
        </w:rPr>
        <w:t>四</w:t>
      </w:r>
      <w:r>
        <w:rPr>
          <w:rFonts w:hint="eastAsia" w:ascii="仿宋" w:hAnsi="仿宋" w:eastAsia="仿宋" w:cs="仿宋"/>
          <w:i w:val="0"/>
          <w:iCs w:val="0"/>
          <w:caps w:val="0"/>
          <w:spacing w:val="8"/>
          <w:sz w:val="32"/>
          <w:szCs w:val="32"/>
          <w:shd w:val="clear" w:fill="FFFFFF"/>
          <w:lang w:val="en-US" w:eastAsia="en-US"/>
        </w:rPr>
        <w:t>）配备与提供的托管服务相适应的场地与办公设施</w:t>
      </w:r>
      <w:r>
        <w:rPr>
          <w:rFonts w:hint="eastAsia" w:ascii="仿宋" w:hAnsi="仿宋" w:eastAsia="仿宋" w:cs="仿宋"/>
          <w:i w:val="0"/>
          <w:iCs w:val="0"/>
          <w:caps w:val="0"/>
          <w:spacing w:val="8"/>
          <w:sz w:val="32"/>
          <w:szCs w:val="32"/>
          <w:shd w:val="clear" w:fill="FFFFFF"/>
          <w:lang w:val="en-US" w:eastAsia="zh-CN"/>
        </w:rPr>
        <w:t>。</w:t>
      </w:r>
      <w:r>
        <w:rPr>
          <w:rFonts w:hint="eastAsia" w:cs="仿宋_GB2312"/>
          <w:color w:val="000000" w:themeColor="text1"/>
          <w:sz w:val="32"/>
          <w:szCs w:val="32"/>
          <w:lang w:val="en-US" w:eastAsia="zh-CN" w:bidi="ar-SA"/>
          <w14:textFill>
            <w14:solidFill>
              <w14:schemeClr w14:val="tx1"/>
            </w14:solidFill>
          </w14:textFill>
        </w:rPr>
        <w:t xml:space="preserve"> </w:t>
      </w:r>
    </w:p>
    <w:p>
      <w:pPr>
        <w:pStyle w:val="5"/>
        <w:spacing w:before="37" w:line="333" w:lineRule="auto"/>
        <w:ind w:right="231"/>
        <w:jc w:val="both"/>
        <w:rPr>
          <w:rFonts w:hint="eastAsia" w:cs="仿宋_GB2312"/>
          <w:b/>
          <w:bCs/>
          <w:color w:val="000000" w:themeColor="text1"/>
          <w:sz w:val="32"/>
          <w:szCs w:val="32"/>
          <w:lang w:val="en-US" w:eastAsia="zh-CN"/>
          <w14:textFill>
            <w14:solidFill>
              <w14:schemeClr w14:val="tx1"/>
            </w14:solidFill>
          </w14:textFill>
        </w:rPr>
      </w:pPr>
      <w:r>
        <w:rPr>
          <w:rFonts w:hint="eastAsia" w:cs="仿宋_GB2312"/>
          <w:b/>
          <w:bCs/>
          <w:color w:val="000000" w:themeColor="text1"/>
          <w:sz w:val="32"/>
          <w:szCs w:val="32"/>
          <w:lang w:val="en-US" w:eastAsia="zh-CN" w:bidi="ar-SA"/>
          <w14:textFill>
            <w14:solidFill>
              <w14:schemeClr w14:val="tx1"/>
            </w14:solidFill>
          </w14:textFill>
        </w:rPr>
        <w:t>四</w:t>
      </w:r>
      <w:r>
        <w:rPr>
          <w:rFonts w:hint="eastAsia" w:cs="仿宋_GB2312"/>
          <w:b/>
          <w:bCs/>
          <w:color w:val="000000" w:themeColor="text1"/>
          <w:sz w:val="32"/>
          <w:szCs w:val="32"/>
          <w:lang w:val="en-US" w:eastAsia="zh-CN"/>
          <w14:textFill>
            <w14:solidFill>
              <w14:schemeClr w14:val="tx1"/>
            </w14:solidFill>
          </w14:textFill>
        </w:rPr>
        <w:t>、</w:t>
      </w:r>
      <w:r>
        <w:rPr>
          <w:rFonts w:hint="eastAsia" w:cs="仿宋_GB2312"/>
          <w:b/>
          <w:bCs/>
          <w:color w:val="000000" w:themeColor="text1"/>
          <w:spacing w:val="-10"/>
          <w:lang w:val="en-US" w:eastAsia="zh-CN"/>
          <w14:textFill>
            <w14:solidFill>
              <w14:schemeClr w14:val="tx1"/>
            </w14:solidFill>
          </w14:textFill>
        </w:rPr>
        <w:t>备案</w:t>
      </w:r>
      <w:r>
        <w:rPr>
          <w:rFonts w:hint="eastAsia" w:cs="仿宋_GB2312"/>
          <w:b/>
          <w:bCs/>
          <w:color w:val="000000" w:themeColor="text1"/>
          <w:sz w:val="32"/>
          <w:szCs w:val="32"/>
          <w:lang w:val="en-US" w:eastAsia="zh-CN"/>
          <w14:textFill>
            <w14:solidFill>
              <w14:schemeClr w14:val="tx1"/>
            </w14:solidFill>
          </w14:textFill>
        </w:rPr>
        <w:t>申请应提交如下材料：</w:t>
      </w:r>
    </w:p>
    <w:p>
      <w:pPr>
        <w:pStyle w:val="5"/>
        <w:spacing w:before="1" w:line="316" w:lineRule="auto"/>
        <w:ind w:left="106" w:right="187" w:firstLine="640"/>
        <w:jc w:val="both"/>
        <w:rPr>
          <w:rFonts w:hint="eastAsia" w:ascii="仿宋" w:hAnsi="仿宋" w:eastAsia="仿宋" w:cs="仿宋"/>
          <w:i w:val="0"/>
          <w:iCs w:val="0"/>
          <w:caps w:val="0"/>
          <w:spacing w:val="8"/>
          <w:sz w:val="32"/>
          <w:szCs w:val="32"/>
          <w:highlight w:val="none"/>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（一）填报符合要求的《</w:t>
      </w:r>
      <w:r>
        <w:rPr>
          <w:rFonts w:hint="eastAsia" w:ascii="仿宋" w:hAnsi="仿宋" w:eastAsia="仿宋" w:cs="仿宋"/>
          <w:i w:val="0"/>
          <w:iCs w:val="0"/>
          <w:caps w:val="0"/>
          <w:spacing w:val="8"/>
          <w:sz w:val="32"/>
          <w:szCs w:val="32"/>
          <w:highlight w:val="none"/>
          <w:shd w:val="clear" w:fill="FFFFFF"/>
          <w:lang w:val="en-US" w:eastAsia="zh-CN"/>
        </w:rPr>
        <w:t>住所（经营场所）标准化地址清单》。</w:t>
      </w:r>
    </w:p>
    <w:p>
      <w:pPr>
        <w:pStyle w:val="5"/>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（二)符合要求的合法使用证明（房屋产权证明、购房合同、租赁合同）等材料。</w:t>
      </w:r>
    </w:p>
    <w:p>
      <w:pPr>
        <w:pStyle w:val="5"/>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（三）泰安市市场主体住所（经营场所）托管地址申报承诺书。</w:t>
      </w:r>
    </w:p>
    <w:p>
      <w:pPr>
        <w:pStyle w:val="5"/>
        <w:spacing w:before="1" w:line="316" w:lineRule="auto"/>
        <w:ind w:left="106" w:right="187" w:firstLine="64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 w:hAnsi="仿宋" w:eastAsia="仿宋" w:cs="仿宋"/>
          <w:i w:val="0"/>
          <w:iCs w:val="0"/>
          <w:caps w:val="0"/>
          <w:spacing w:val="8"/>
          <w:sz w:val="32"/>
          <w:szCs w:val="32"/>
          <w:shd w:val="clear" w:fill="FFFFFF"/>
          <w:lang w:val="en-US" w:eastAsia="zh-CN"/>
        </w:rPr>
        <w:t>（四）登记机关认为需要提交的与注册登记有关其他材料。</w:t>
      </w:r>
    </w:p>
    <w:p>
      <w:pPr>
        <w:pStyle w:val="5"/>
        <w:spacing w:before="37" w:line="333" w:lineRule="auto"/>
        <w:ind w:right="231"/>
        <w:jc w:val="both"/>
        <w:rPr>
          <w:rFonts w:hint="eastAsia" w:cs="仿宋_GB2312"/>
          <w:b/>
          <w:bCs/>
          <w:color w:val="000000" w:themeColor="text1"/>
          <w:sz w:val="32"/>
          <w:szCs w:val="32"/>
          <w:lang w:val="en-US" w:eastAsia="zh-CN" w:bidi="ar-SA"/>
          <w14:textFill>
            <w14:solidFill>
              <w14:schemeClr w14:val="tx1"/>
            </w14:solidFill>
          </w14:textFill>
        </w:rPr>
      </w:pPr>
      <w:r>
        <w:rPr>
          <w:rFonts w:hint="eastAsia" w:cs="仿宋_GB2312"/>
          <w:b/>
          <w:bCs/>
          <w:color w:val="000000" w:themeColor="text1"/>
          <w:sz w:val="32"/>
          <w:szCs w:val="32"/>
          <w:lang w:val="en-US" w:eastAsia="zh-CN" w:bidi="ar-SA"/>
          <w14:textFill>
            <w14:solidFill>
              <w14:schemeClr w14:val="tx1"/>
            </w14:solidFill>
          </w14:textFill>
        </w:rPr>
        <w:t>五、备案流程</w:t>
      </w:r>
    </w:p>
    <w:p>
      <w:pPr>
        <w:pStyle w:val="5"/>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标准化地址库地址保持动态调整，实时更新。托管地址发</w:t>
      </w:r>
      <w:r>
        <w:rPr>
          <w:rFonts w:hint="eastAsia" w:ascii="仿宋" w:hAnsi="仿宋" w:eastAsia="仿宋" w:cs="仿宋"/>
          <w:i w:val="0"/>
          <w:iCs w:val="0"/>
          <w:caps w:val="0"/>
          <w:spacing w:val="8"/>
          <w:sz w:val="32"/>
          <w:szCs w:val="32"/>
          <w:highlight w:val="none"/>
          <w:shd w:val="clear" w:fill="FFFFFF"/>
          <w:lang w:val="en-US" w:eastAsia="zh-CN"/>
        </w:rPr>
        <w:t>生变化时，由各住所(经营</w:t>
      </w:r>
      <w:r>
        <w:rPr>
          <w:rFonts w:hint="eastAsia" w:ascii="仿宋" w:hAnsi="仿宋" w:eastAsia="仿宋" w:cs="仿宋"/>
          <w:i w:val="0"/>
          <w:iCs w:val="0"/>
          <w:caps w:val="0"/>
          <w:spacing w:val="8"/>
          <w:sz w:val="32"/>
          <w:szCs w:val="32"/>
          <w:highlight w:val="none"/>
          <w:shd w:val="clear" w:fill="FFFFFF"/>
          <w:lang w:val="en-US" w:eastAsia="zh-CN"/>
        </w:rPr>
        <w:t>场所)管理方负责及时上报登记机关。符合</w:t>
      </w:r>
      <w:r>
        <w:rPr>
          <w:rFonts w:hint="eastAsia" w:ascii="仿宋" w:hAnsi="仿宋" w:eastAsia="仿宋" w:cs="仿宋"/>
          <w:i w:val="0"/>
          <w:iCs w:val="0"/>
          <w:caps w:val="0"/>
          <w:spacing w:val="8"/>
          <w:sz w:val="32"/>
          <w:szCs w:val="32"/>
          <w:shd w:val="clear" w:fill="FFFFFF"/>
          <w:lang w:val="en-US" w:eastAsia="zh-CN"/>
        </w:rPr>
        <w:t>下列情形，市级登记机关应及时作出入库更新处理。</w:t>
      </w:r>
    </w:p>
    <w:p>
      <w:pPr>
        <w:pStyle w:val="5"/>
        <w:numPr>
          <w:ilvl w:val="0"/>
          <w:numId w:val="2"/>
        </w:numPr>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入库</w:t>
      </w:r>
    </w:p>
    <w:p>
      <w:pPr>
        <w:pStyle w:val="5"/>
        <w:numPr>
          <w:ilvl w:val="0"/>
          <w:numId w:val="0"/>
        </w:numPr>
        <w:spacing w:before="1" w:line="316" w:lineRule="auto"/>
        <w:ind w:right="187" w:rightChars="0" w:firstLine="672" w:firstLineChars="20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1、托管地址所在的商业综合体、大型商超、创业孵化基地(创业园区) 、社区、产业园区和写字楼宇的住所管理方将符合条件的《住所（经营场所）标准化地址清单》及场地合法使用证明等材料通过线上或线下报送县级登记机关，经过初审后，</w:t>
      </w:r>
      <w:r>
        <w:rPr>
          <w:rFonts w:hint="eastAsia" w:ascii="仿宋" w:hAnsi="仿宋" w:eastAsia="仿宋" w:cs="仿宋"/>
          <w:i w:val="0"/>
          <w:iCs w:val="0"/>
          <w:caps w:val="0"/>
          <w:color w:val="auto"/>
          <w:spacing w:val="8"/>
          <w:sz w:val="32"/>
          <w:szCs w:val="32"/>
          <w:shd w:val="clear" w:fill="FFFFFF"/>
          <w:lang w:val="en-US" w:eastAsia="zh-CN"/>
        </w:rPr>
        <w:t>将</w:t>
      </w:r>
      <w:r>
        <w:rPr>
          <w:rFonts w:hint="eastAsia" w:ascii="仿宋" w:hAnsi="仿宋" w:eastAsia="仿宋" w:cs="仿宋"/>
          <w:i w:val="0"/>
          <w:iCs w:val="0"/>
          <w:caps w:val="0"/>
          <w:color w:val="auto"/>
          <w:spacing w:val="8"/>
          <w:sz w:val="32"/>
          <w:szCs w:val="32"/>
          <w:highlight w:val="none"/>
          <w:shd w:val="clear" w:fill="FFFFFF"/>
          <w:lang w:val="en-US" w:eastAsia="zh-CN"/>
        </w:rPr>
        <w:t>审核</w:t>
      </w:r>
      <w:r>
        <w:rPr>
          <w:rFonts w:hint="eastAsia" w:ascii="仿宋" w:hAnsi="仿宋" w:eastAsia="仿宋" w:cs="仿宋"/>
          <w:i w:val="0"/>
          <w:iCs w:val="0"/>
          <w:caps w:val="0"/>
          <w:color w:val="auto"/>
          <w:spacing w:val="8"/>
          <w:sz w:val="32"/>
          <w:szCs w:val="32"/>
          <w:shd w:val="clear" w:fill="FFFFFF"/>
          <w:lang w:val="en-US" w:eastAsia="zh-CN"/>
        </w:rPr>
        <w:t>材料齐全的材料2日内报市级登记机关</w:t>
      </w:r>
      <w:r>
        <w:rPr>
          <w:rFonts w:hint="eastAsia" w:ascii="仿宋" w:hAnsi="仿宋" w:eastAsia="仿宋" w:cs="仿宋"/>
          <w:i w:val="0"/>
          <w:iCs w:val="0"/>
          <w:caps w:val="0"/>
          <w:spacing w:val="8"/>
          <w:sz w:val="32"/>
          <w:szCs w:val="32"/>
          <w:shd w:val="clear" w:fill="FFFFFF"/>
          <w:lang w:val="en-US" w:eastAsia="zh-CN"/>
        </w:rPr>
        <w:t>，不符合</w:t>
      </w:r>
      <w:r>
        <w:rPr>
          <w:rFonts w:hint="eastAsia" w:ascii="仿宋" w:hAnsi="仿宋" w:eastAsia="仿宋" w:cs="仿宋"/>
          <w:i w:val="0"/>
          <w:iCs w:val="0"/>
          <w:caps w:val="0"/>
          <w:spacing w:val="8"/>
          <w:sz w:val="32"/>
          <w:szCs w:val="32"/>
          <w:highlight w:val="none"/>
          <w:shd w:val="clear" w:fill="FFFFFF"/>
          <w:lang w:val="en-US" w:eastAsia="zh-CN"/>
        </w:rPr>
        <w:t>的退回修改后</w:t>
      </w:r>
      <w:r>
        <w:rPr>
          <w:rFonts w:hint="eastAsia" w:ascii="仿宋" w:hAnsi="仿宋" w:eastAsia="仿宋" w:cs="仿宋"/>
          <w:i w:val="0"/>
          <w:iCs w:val="0"/>
          <w:caps w:val="0"/>
          <w:spacing w:val="8"/>
          <w:sz w:val="32"/>
          <w:szCs w:val="32"/>
          <w:shd w:val="clear" w:fill="FFFFFF"/>
          <w:lang w:val="en-US" w:eastAsia="zh-CN"/>
        </w:rPr>
        <w:t>重新提报。市级登记机关</w:t>
      </w:r>
      <w:r>
        <w:rPr>
          <w:rFonts w:hint="eastAsia" w:ascii="仿宋" w:hAnsi="仿宋" w:eastAsia="仿宋" w:cs="仿宋"/>
          <w:i w:val="0"/>
          <w:iCs w:val="0"/>
          <w:caps w:val="0"/>
          <w:spacing w:val="8"/>
          <w:sz w:val="32"/>
          <w:szCs w:val="32"/>
          <w:highlight w:val="none"/>
          <w:shd w:val="clear" w:fill="FFFFFF"/>
          <w:lang w:val="en-US" w:eastAsia="zh-CN"/>
        </w:rPr>
        <w:t>收到材料后</w:t>
      </w:r>
      <w:r>
        <w:rPr>
          <w:rFonts w:hint="eastAsia" w:ascii="仿宋" w:hAnsi="仿宋" w:eastAsia="仿宋" w:cs="仿宋"/>
          <w:i w:val="0"/>
          <w:iCs w:val="0"/>
          <w:caps w:val="0"/>
          <w:spacing w:val="8"/>
          <w:sz w:val="32"/>
          <w:szCs w:val="32"/>
          <w:shd w:val="clear" w:fill="FFFFFF"/>
          <w:lang w:val="en-US" w:eastAsia="zh-CN"/>
        </w:rPr>
        <w:t>2日内进行审核，审核通过后，报同级自然资源和规划部门进行核验，经核验无误后直接入库。</w:t>
      </w:r>
    </w:p>
    <w:p>
      <w:pPr>
        <w:pStyle w:val="5"/>
        <w:spacing w:before="1" w:line="316" w:lineRule="auto"/>
        <w:ind w:left="106" w:right="187" w:firstLine="640"/>
        <w:jc w:val="both"/>
        <w:rPr>
          <w:rFonts w:hint="eastAsia" w:ascii="仿宋" w:hAnsi="仿宋" w:eastAsia="仿宋" w:cs="仿宋"/>
          <w:i w:val="0"/>
          <w:iCs w:val="0"/>
          <w:caps w:val="0"/>
          <w:color w:val="auto"/>
          <w:spacing w:val="8"/>
          <w:sz w:val="32"/>
          <w:szCs w:val="32"/>
          <w:shd w:val="clear" w:fill="FFFFFF"/>
          <w:lang w:val="en-US" w:eastAsia="zh-CN"/>
        </w:rPr>
      </w:pPr>
      <w:r>
        <w:rPr>
          <w:rFonts w:hint="eastAsia" w:ascii="仿宋" w:hAnsi="仿宋" w:eastAsia="仿宋" w:cs="仿宋"/>
          <w:i w:val="0"/>
          <w:iCs w:val="0"/>
          <w:caps w:val="0"/>
          <w:color w:val="auto"/>
          <w:spacing w:val="8"/>
          <w:sz w:val="32"/>
          <w:szCs w:val="32"/>
          <w:shd w:val="clear" w:fill="FFFFFF"/>
          <w:lang w:val="en-US" w:eastAsia="zh-CN"/>
        </w:rPr>
        <w:t>2、对托管地址应当符合国土空间规划、依法取得用地手续和规划许可、符合建筑工程质量、房屋安全使用、房屋租赁管理、生态环境保护、自建房管理、住宅作为经营性用房的住所（经营场所）不得入库。</w:t>
      </w:r>
    </w:p>
    <w:p>
      <w:pPr>
        <w:pStyle w:val="5"/>
        <w:spacing w:before="1" w:line="316" w:lineRule="auto"/>
        <w:ind w:left="106" w:right="187" w:firstLine="640"/>
        <w:jc w:val="both"/>
        <w:rPr>
          <w:rFonts w:hint="eastAsia" w:ascii="仿宋" w:hAnsi="仿宋" w:eastAsia="仿宋" w:cs="仿宋"/>
          <w:i w:val="0"/>
          <w:iCs w:val="0"/>
          <w:caps w:val="0"/>
          <w:color w:val="auto"/>
          <w:spacing w:val="8"/>
          <w:sz w:val="32"/>
          <w:szCs w:val="32"/>
          <w:highlight w:val="none"/>
          <w:shd w:val="clear" w:fill="FFFFFF"/>
          <w:lang w:val="en-US" w:eastAsia="zh-CN"/>
        </w:rPr>
      </w:pPr>
      <w:r>
        <w:rPr>
          <w:rFonts w:hint="eastAsia" w:ascii="仿宋" w:hAnsi="仿宋" w:eastAsia="仿宋" w:cs="仿宋"/>
          <w:i w:val="0"/>
          <w:iCs w:val="0"/>
          <w:caps w:val="0"/>
          <w:color w:val="auto"/>
          <w:spacing w:val="8"/>
          <w:sz w:val="32"/>
          <w:szCs w:val="32"/>
          <w:highlight w:val="none"/>
          <w:shd w:val="clear" w:fill="FFFFFF"/>
          <w:lang w:val="en-US" w:eastAsia="zh-CN"/>
        </w:rPr>
        <w:t>3、标准化地址库实行负面清单制度，负面清单地址不得入库。</w:t>
      </w:r>
    </w:p>
    <w:p>
      <w:pPr>
        <w:pStyle w:val="5"/>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（二）出库</w:t>
      </w:r>
    </w:p>
    <w:p>
      <w:pPr>
        <w:pStyle w:val="5"/>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1、地址托管期间托管地址所在的商业综合体、大型商超、创业孵化基地(创业园区)、社区、产业园区和写字楼宇的管理方发生变更的移除库后，由新管理方重新申请托管地址备案。</w:t>
      </w:r>
    </w:p>
    <w:p>
      <w:pPr>
        <w:pStyle w:val="5"/>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2、市场主体将所使用托管地址进行隔断改造为若干空间，管理方同意后，做出库处理后，重新申请该户号的托管地址备案（备案号分别表述为A1、A2等）。</w:t>
      </w:r>
    </w:p>
    <w:p>
      <w:pPr>
        <w:pStyle w:val="5"/>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3、托管地址地理信息发生变更的，由住所（经营</w:t>
      </w:r>
      <w:r>
        <w:rPr>
          <w:rFonts w:hint="eastAsia" w:ascii="仿宋" w:hAnsi="仿宋" w:eastAsia="仿宋" w:cs="仿宋"/>
          <w:i w:val="0"/>
          <w:iCs w:val="0"/>
          <w:caps w:val="0"/>
          <w:spacing w:val="8"/>
          <w:sz w:val="32"/>
          <w:szCs w:val="32"/>
          <w:highlight w:val="none"/>
          <w:shd w:val="clear" w:fill="FFFFFF"/>
          <w:lang w:val="en-US" w:eastAsia="zh-CN"/>
        </w:rPr>
        <w:t>场所</w:t>
      </w:r>
      <w:r>
        <w:rPr>
          <w:rFonts w:hint="eastAsia" w:ascii="仿宋" w:hAnsi="仿宋" w:eastAsia="仿宋" w:cs="仿宋"/>
          <w:i w:val="0"/>
          <w:iCs w:val="0"/>
          <w:caps w:val="0"/>
          <w:spacing w:val="8"/>
          <w:sz w:val="32"/>
          <w:szCs w:val="32"/>
          <w:shd w:val="clear" w:fill="FFFFFF"/>
          <w:lang w:val="en-US" w:eastAsia="zh-CN"/>
        </w:rPr>
        <w:t>）管理方向登记机关提交信息变更文件等材料重新申请托管地址备案，登记机关同意后做出库或更新处理。</w:t>
      </w:r>
    </w:p>
    <w:p>
      <w:pPr>
        <w:pStyle w:val="5"/>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4、住所（经营</w:t>
      </w:r>
      <w:r>
        <w:rPr>
          <w:rFonts w:hint="eastAsia" w:ascii="仿宋" w:hAnsi="仿宋" w:eastAsia="仿宋" w:cs="仿宋"/>
          <w:i w:val="0"/>
          <w:iCs w:val="0"/>
          <w:caps w:val="0"/>
          <w:spacing w:val="8"/>
          <w:sz w:val="32"/>
          <w:szCs w:val="32"/>
          <w:highlight w:val="none"/>
          <w:shd w:val="clear" w:fill="FFFFFF"/>
          <w:lang w:val="en-US" w:eastAsia="zh-CN"/>
        </w:rPr>
        <w:t>场所</w:t>
      </w:r>
      <w:r>
        <w:rPr>
          <w:rFonts w:hint="eastAsia" w:ascii="仿宋" w:hAnsi="仿宋" w:eastAsia="仿宋" w:cs="仿宋"/>
          <w:i w:val="0"/>
          <w:iCs w:val="0"/>
          <w:caps w:val="0"/>
          <w:spacing w:val="8"/>
          <w:sz w:val="32"/>
          <w:szCs w:val="32"/>
          <w:shd w:val="clear" w:fill="FFFFFF"/>
          <w:lang w:val="en-US" w:eastAsia="zh-CN"/>
        </w:rPr>
        <w:t>）管理方为申请人提供虚假住所及登记材料的，经查实，移除标准化地址库。</w:t>
      </w:r>
    </w:p>
    <w:p>
      <w:pPr>
        <w:pStyle w:val="5"/>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5、登记机关认为需要作出出库的其他情形。</w:t>
      </w:r>
    </w:p>
    <w:p>
      <w:pPr>
        <w:pStyle w:val="5"/>
        <w:numPr>
          <w:ilvl w:val="0"/>
          <w:numId w:val="0"/>
        </w:numPr>
        <w:spacing w:before="37" w:line="333" w:lineRule="auto"/>
        <w:ind w:right="231" w:rightChars="0"/>
        <w:jc w:val="both"/>
        <w:rPr>
          <w:rFonts w:hint="eastAsia" w:ascii="宋体" w:hAnsi="宋体" w:eastAsia="宋体" w:cs="宋体"/>
          <w:b/>
          <w:bCs/>
          <w:sz w:val="24"/>
          <w:szCs w:val="24"/>
          <w:lang w:eastAsia="zh-CN"/>
        </w:rPr>
      </w:pPr>
      <w:r>
        <w:rPr>
          <w:rFonts w:hint="eastAsia" w:cs="仿宋_GB2312"/>
          <w:b/>
          <w:bCs/>
          <w:color w:val="000000" w:themeColor="text1"/>
          <w:sz w:val="32"/>
          <w:szCs w:val="32"/>
          <w:lang w:val="en-US" w:eastAsia="zh-CN" w:bidi="ar-SA"/>
          <w14:textFill>
            <w14:solidFill>
              <w14:schemeClr w14:val="tx1"/>
            </w14:solidFill>
          </w14:textFill>
        </w:rPr>
        <w:t>六、</w:t>
      </w:r>
      <w:r>
        <w:rPr>
          <w:rFonts w:hint="eastAsia" w:ascii="黑体" w:hAnsi="黑体" w:eastAsia="黑体" w:cs="黑体"/>
          <w:b w:val="0"/>
          <w:bCs w:val="0"/>
          <w:color w:val="auto"/>
          <w:sz w:val="32"/>
          <w:szCs w:val="32"/>
          <w:highlight w:val="none"/>
        </w:rPr>
        <w:t>协议</w:t>
      </w:r>
      <w:r>
        <w:rPr>
          <w:rFonts w:hint="eastAsia" w:ascii="黑体" w:hAnsi="黑体" w:eastAsia="黑体" w:cs="黑体"/>
          <w:b w:val="0"/>
          <w:bCs w:val="0"/>
          <w:color w:val="auto"/>
          <w:sz w:val="32"/>
          <w:szCs w:val="32"/>
          <w:highlight w:val="none"/>
          <w:lang w:eastAsia="zh-CN"/>
        </w:rPr>
        <w:t>约定。</w:t>
      </w:r>
    </w:p>
    <w:p>
      <w:pPr>
        <w:pStyle w:val="5"/>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 xml:space="preserve">协议应当包括以下条款： </w:t>
      </w:r>
    </w:p>
    <w:p>
      <w:pPr>
        <w:pStyle w:val="5"/>
        <w:numPr>
          <w:ilvl w:val="0"/>
          <w:numId w:val="3"/>
        </w:numPr>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 xml:space="preserve">托管的期限； </w:t>
      </w:r>
      <w:bookmarkStart w:id="0" w:name="_GoBack"/>
      <w:bookmarkEnd w:id="0"/>
    </w:p>
    <w:p>
      <w:pPr>
        <w:pStyle w:val="5"/>
        <w:numPr>
          <w:ilvl w:val="0"/>
          <w:numId w:val="3"/>
        </w:numPr>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 xml:space="preserve">托管服务的内容； </w:t>
      </w:r>
    </w:p>
    <w:p>
      <w:pPr>
        <w:pStyle w:val="5"/>
        <w:numPr>
          <w:ilvl w:val="0"/>
          <w:numId w:val="3"/>
        </w:numPr>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托管双方当事人的权利和义务；</w:t>
      </w:r>
    </w:p>
    <w:p>
      <w:pPr>
        <w:pStyle w:val="5"/>
        <w:numPr>
          <w:ilvl w:val="0"/>
          <w:numId w:val="3"/>
        </w:numPr>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托管关系的解除事由；</w:t>
      </w:r>
    </w:p>
    <w:p>
      <w:pPr>
        <w:pStyle w:val="5"/>
        <w:numPr>
          <w:ilvl w:val="0"/>
          <w:numId w:val="3"/>
        </w:numPr>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 xml:space="preserve">争议的解决途径； </w:t>
      </w:r>
    </w:p>
    <w:p>
      <w:pPr>
        <w:pStyle w:val="5"/>
        <w:numPr>
          <w:ilvl w:val="0"/>
          <w:numId w:val="3"/>
        </w:numPr>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双方经协商认为必要的其他内容。</w:t>
      </w:r>
    </w:p>
    <w:p>
      <w:pPr>
        <w:pStyle w:val="5"/>
        <w:numPr>
          <w:ilvl w:val="0"/>
          <w:numId w:val="0"/>
        </w:numPr>
        <w:spacing w:before="37" w:line="333" w:lineRule="auto"/>
        <w:ind w:right="231" w:rightChars="0"/>
        <w:jc w:val="both"/>
        <w:rPr>
          <w:rFonts w:hint="eastAsia" w:cs="仿宋_GB2312"/>
          <w:b/>
          <w:bCs/>
          <w:color w:val="000000" w:themeColor="text1"/>
          <w:sz w:val="32"/>
          <w:szCs w:val="32"/>
          <w:lang w:val="en-US" w:eastAsia="zh-CN" w:bidi="ar-SA"/>
          <w14:textFill>
            <w14:solidFill>
              <w14:schemeClr w14:val="tx1"/>
            </w14:solidFill>
          </w14:textFill>
        </w:rPr>
      </w:pPr>
      <w:r>
        <w:rPr>
          <w:rFonts w:hint="eastAsia" w:cs="仿宋_GB2312"/>
          <w:b/>
          <w:bCs/>
          <w:color w:val="000000" w:themeColor="text1"/>
          <w:sz w:val="32"/>
          <w:szCs w:val="32"/>
          <w:lang w:val="en-US" w:eastAsia="zh-CN" w:bidi="ar-SA"/>
          <w14:textFill>
            <w14:solidFill>
              <w14:schemeClr w14:val="tx1"/>
            </w14:solidFill>
          </w14:textFill>
        </w:rPr>
        <w:t>七、变更与注销</w:t>
      </w:r>
    </w:p>
    <w:p>
      <w:pPr>
        <w:pStyle w:val="5"/>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托管关系终止或管理方</w:t>
      </w:r>
      <w:r>
        <w:rPr>
          <w:rFonts w:hint="eastAsia" w:ascii="仿宋" w:hAnsi="仿宋" w:eastAsia="仿宋" w:cs="仿宋"/>
          <w:i w:val="0"/>
          <w:iCs w:val="0"/>
          <w:caps w:val="0"/>
          <w:spacing w:val="8"/>
          <w:sz w:val="32"/>
          <w:szCs w:val="32"/>
          <w:highlight w:val="none"/>
          <w:shd w:val="clear" w:fill="FFFFFF"/>
          <w:lang w:val="en-US" w:eastAsia="zh-CN"/>
        </w:rPr>
        <w:t>住所（经营场所）</w:t>
      </w:r>
      <w:r>
        <w:rPr>
          <w:rFonts w:hint="eastAsia" w:ascii="仿宋" w:hAnsi="仿宋" w:eastAsia="仿宋" w:cs="仿宋"/>
          <w:i w:val="0"/>
          <w:iCs w:val="0"/>
          <w:caps w:val="0"/>
          <w:spacing w:val="8"/>
          <w:sz w:val="32"/>
          <w:szCs w:val="32"/>
          <w:shd w:val="clear" w:fill="FFFFFF"/>
          <w:lang w:val="en-US" w:eastAsia="zh-CN"/>
        </w:rPr>
        <w:t>发生变化时，出现下列情形之一，导致市场主体不能以托管地址作为其</w:t>
      </w:r>
      <w:r>
        <w:rPr>
          <w:rFonts w:hint="eastAsia" w:ascii="仿宋" w:hAnsi="仿宋" w:eastAsia="仿宋" w:cs="仿宋"/>
          <w:i w:val="0"/>
          <w:iCs w:val="0"/>
          <w:caps w:val="0"/>
          <w:spacing w:val="8"/>
          <w:sz w:val="32"/>
          <w:szCs w:val="32"/>
          <w:highlight w:val="none"/>
          <w:shd w:val="clear" w:fill="FFFFFF"/>
          <w:lang w:val="en-US" w:eastAsia="zh-CN"/>
        </w:rPr>
        <w:t>住所（经营场所）</w:t>
      </w:r>
      <w:r>
        <w:rPr>
          <w:rFonts w:hint="eastAsia" w:ascii="仿宋" w:hAnsi="仿宋" w:eastAsia="仿宋" w:cs="仿宋"/>
          <w:i w:val="0"/>
          <w:iCs w:val="0"/>
          <w:caps w:val="0"/>
          <w:spacing w:val="8"/>
          <w:sz w:val="32"/>
          <w:szCs w:val="32"/>
          <w:shd w:val="clear" w:fill="FFFFFF"/>
          <w:lang w:val="en-US" w:eastAsia="zh-CN"/>
        </w:rPr>
        <w:t>的，市场主体应当依法办理</w:t>
      </w:r>
      <w:r>
        <w:rPr>
          <w:rFonts w:hint="eastAsia" w:ascii="仿宋" w:hAnsi="仿宋" w:eastAsia="仿宋" w:cs="仿宋"/>
          <w:i w:val="0"/>
          <w:iCs w:val="0"/>
          <w:caps w:val="0"/>
          <w:spacing w:val="8"/>
          <w:sz w:val="32"/>
          <w:szCs w:val="32"/>
          <w:highlight w:val="none"/>
          <w:shd w:val="clear" w:fill="FFFFFF"/>
          <w:lang w:val="en-US" w:eastAsia="zh-CN"/>
        </w:rPr>
        <w:t>住所（经营场所）</w:t>
      </w:r>
      <w:r>
        <w:rPr>
          <w:rFonts w:hint="eastAsia" w:ascii="仿宋" w:hAnsi="仿宋" w:eastAsia="仿宋" w:cs="仿宋"/>
          <w:i w:val="0"/>
          <w:iCs w:val="0"/>
          <w:caps w:val="0"/>
          <w:spacing w:val="8"/>
          <w:sz w:val="32"/>
          <w:szCs w:val="32"/>
          <w:shd w:val="clear" w:fill="FFFFFF"/>
          <w:lang w:val="en-US" w:eastAsia="zh-CN"/>
        </w:rPr>
        <w:t>变更或者注销登记：</w:t>
      </w:r>
    </w:p>
    <w:p>
      <w:pPr>
        <w:pStyle w:val="5"/>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（一）</w:t>
      </w:r>
      <w:r>
        <w:rPr>
          <w:rFonts w:hint="eastAsia" w:ascii="仿宋" w:hAnsi="仿宋" w:eastAsia="仿宋" w:cs="仿宋"/>
          <w:i w:val="0"/>
          <w:iCs w:val="0"/>
          <w:caps w:val="0"/>
          <w:spacing w:val="8"/>
          <w:sz w:val="32"/>
          <w:szCs w:val="32"/>
          <w:highlight w:val="none"/>
          <w:shd w:val="clear" w:fill="FFFFFF"/>
          <w:lang w:val="en-US" w:eastAsia="zh-CN"/>
        </w:rPr>
        <w:t>住所（经营场所）</w:t>
      </w:r>
      <w:r>
        <w:rPr>
          <w:rFonts w:hint="eastAsia" w:ascii="仿宋" w:hAnsi="仿宋" w:eastAsia="仿宋" w:cs="仿宋"/>
          <w:i w:val="0"/>
          <w:iCs w:val="0"/>
          <w:caps w:val="0"/>
          <w:spacing w:val="8"/>
          <w:sz w:val="32"/>
          <w:szCs w:val="32"/>
          <w:shd w:val="clear" w:fill="FFFFFF"/>
          <w:lang w:val="en-US" w:eastAsia="zh-CN"/>
        </w:rPr>
        <w:t>租赁合同期满未续约、依法被撤销、确认无效或者被解除的;</w:t>
      </w:r>
    </w:p>
    <w:p>
      <w:pPr>
        <w:pStyle w:val="5"/>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（二）住所管理方终止地址托管服务的；</w:t>
      </w:r>
    </w:p>
    <w:p>
      <w:pPr>
        <w:pStyle w:val="5"/>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（三）市场主体申请注销登记的。</w:t>
      </w:r>
    </w:p>
    <w:p>
      <w:pPr>
        <w:pStyle w:val="5"/>
        <w:spacing w:before="162" w:line="333" w:lineRule="auto"/>
        <w:ind w:right="187"/>
        <w:jc w:val="both"/>
        <w:rPr>
          <w:rFonts w:hint="eastAsia" w:cs="仿宋_GB2312"/>
          <w:b/>
          <w:bCs/>
          <w:color w:val="000000" w:themeColor="text1"/>
          <w:sz w:val="32"/>
          <w:szCs w:val="32"/>
          <w:lang w:val="en-US" w:eastAsia="zh-CN" w:bidi="ar-SA"/>
          <w14:textFill>
            <w14:solidFill>
              <w14:schemeClr w14:val="tx1"/>
            </w14:solidFill>
          </w14:textFill>
        </w:rPr>
      </w:pPr>
      <w:r>
        <w:rPr>
          <w:rFonts w:hint="eastAsia" w:cs="仿宋_GB2312"/>
          <w:b/>
          <w:bCs/>
          <w:color w:val="000000" w:themeColor="text1"/>
          <w:sz w:val="32"/>
          <w:szCs w:val="32"/>
          <w:lang w:val="en-US" w:eastAsia="zh-CN" w:bidi="ar-SA"/>
          <w14:textFill>
            <w14:solidFill>
              <w14:schemeClr w14:val="tx1"/>
            </w14:solidFill>
          </w14:textFill>
        </w:rPr>
        <w:t>八、档案保管</w:t>
      </w:r>
    </w:p>
    <w:p>
      <w:pPr>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申报档案</w:t>
      </w:r>
      <w:r>
        <w:rPr>
          <w:rFonts w:hint="eastAsia" w:ascii="仿宋" w:hAnsi="仿宋" w:eastAsia="仿宋" w:cs="仿宋"/>
          <w:sz w:val="32"/>
          <w:szCs w:val="32"/>
        </w:rPr>
        <w:t>保管应</w:t>
      </w:r>
      <w:r>
        <w:rPr>
          <w:rFonts w:hint="eastAsia" w:ascii="仿宋" w:hAnsi="仿宋" w:eastAsia="仿宋" w:cs="仿宋"/>
          <w:sz w:val="32"/>
          <w:szCs w:val="32"/>
          <w:lang w:eastAsia="zh-CN"/>
        </w:rPr>
        <w:t>独立存放，</w:t>
      </w:r>
      <w:r>
        <w:rPr>
          <w:rFonts w:hint="eastAsia" w:ascii="仿宋" w:hAnsi="仿宋" w:eastAsia="仿宋" w:cs="仿宋"/>
          <w:sz w:val="32"/>
          <w:szCs w:val="32"/>
        </w:rPr>
        <w:t>并应有防盗、防火、防腐蚀、防蛀等设施</w:t>
      </w:r>
      <w:r>
        <w:rPr>
          <w:rFonts w:hint="eastAsia" w:ascii="仿宋" w:hAnsi="仿宋" w:eastAsia="仿宋" w:cs="仿宋"/>
          <w:sz w:val="32"/>
          <w:szCs w:val="32"/>
          <w:lang w:eastAsia="zh-CN"/>
        </w:rPr>
        <w:t>，由专人保管。</w:t>
      </w:r>
      <w:r>
        <w:rPr>
          <w:rFonts w:hint="eastAsia" w:ascii="仿宋" w:hAnsi="仿宋" w:eastAsia="仿宋" w:cs="仿宋"/>
          <w:sz w:val="32"/>
          <w:szCs w:val="32"/>
        </w:rPr>
        <w:t>住所（</w:t>
      </w:r>
      <w:r>
        <w:rPr>
          <w:rFonts w:hint="eastAsia" w:ascii="仿宋" w:hAnsi="仿宋" w:eastAsia="仿宋" w:cs="仿宋"/>
          <w:sz w:val="32"/>
          <w:szCs w:val="32"/>
          <w:lang w:eastAsia="zh-CN"/>
        </w:rPr>
        <w:t>经营</w:t>
      </w:r>
      <w:r>
        <w:rPr>
          <w:rFonts w:hint="eastAsia" w:ascii="仿宋" w:hAnsi="仿宋" w:eastAsia="仿宋" w:cs="仿宋"/>
          <w:sz w:val="32"/>
          <w:szCs w:val="32"/>
        </w:rPr>
        <w:t>场所）</w:t>
      </w:r>
      <w:r>
        <w:rPr>
          <w:rFonts w:hint="eastAsia" w:ascii="仿宋" w:hAnsi="仿宋" w:eastAsia="仿宋" w:cs="仿宋"/>
          <w:color w:val="000000" w:themeColor="text1"/>
          <w:sz w:val="32"/>
          <w:szCs w:val="32"/>
          <w:lang w:val="en-US" w:eastAsia="zh-CN" w:bidi="ar-SA"/>
          <w14:textFill>
            <w14:solidFill>
              <w14:schemeClr w14:val="tx1"/>
            </w14:solidFill>
          </w14:textFill>
        </w:rPr>
        <w:t>托管地址</w:t>
      </w:r>
      <w:r>
        <w:rPr>
          <w:rFonts w:hint="eastAsia" w:ascii="仿宋" w:hAnsi="仿宋" w:eastAsia="仿宋" w:cs="仿宋"/>
          <w:sz w:val="32"/>
          <w:szCs w:val="32"/>
        </w:rPr>
        <w:t>存续期间，</w:t>
      </w:r>
      <w:r>
        <w:rPr>
          <w:rFonts w:hint="eastAsia" w:ascii="仿宋" w:hAnsi="仿宋" w:eastAsia="仿宋" w:cs="仿宋"/>
          <w:sz w:val="32"/>
          <w:szCs w:val="32"/>
          <w:lang w:eastAsia="zh-CN"/>
        </w:rPr>
        <w:t>该</w:t>
      </w:r>
      <w:r>
        <w:rPr>
          <w:rFonts w:hint="eastAsia" w:ascii="仿宋" w:hAnsi="仿宋" w:eastAsia="仿宋" w:cs="仿宋"/>
          <w:sz w:val="32"/>
          <w:szCs w:val="32"/>
        </w:rPr>
        <w:t>档案</w:t>
      </w:r>
      <w:r>
        <w:rPr>
          <w:rFonts w:hint="eastAsia" w:ascii="仿宋" w:hAnsi="仿宋" w:eastAsia="仿宋" w:cs="仿宋"/>
          <w:sz w:val="32"/>
          <w:szCs w:val="32"/>
          <w:lang w:val="en-US" w:eastAsia="zh-CN"/>
        </w:rPr>
        <w:t>保管期限与存续期一致</w:t>
      </w:r>
      <w:r>
        <w:rPr>
          <w:rFonts w:hint="eastAsia" w:ascii="仿宋" w:hAnsi="仿宋" w:eastAsia="仿宋" w:cs="仿宋"/>
          <w:sz w:val="32"/>
          <w:szCs w:val="32"/>
        </w:rPr>
        <w:t>。</w:t>
      </w:r>
    </w:p>
    <w:p>
      <w:pPr>
        <w:pStyle w:val="5"/>
        <w:spacing w:before="162" w:line="333" w:lineRule="auto"/>
        <w:ind w:right="187"/>
        <w:jc w:val="both"/>
        <w:rPr>
          <w:rFonts w:hint="eastAsia" w:cs="仿宋_GB2312"/>
          <w:b/>
          <w:bCs/>
          <w:color w:val="000000" w:themeColor="text1"/>
          <w:sz w:val="32"/>
          <w:szCs w:val="32"/>
          <w:shd w:val="clear" w:color="auto" w:fill="FFFFFF"/>
          <w:lang w:eastAsia="zh-CN"/>
          <w14:textFill>
            <w14:solidFill>
              <w14:schemeClr w14:val="tx1"/>
            </w14:solidFill>
          </w14:textFill>
        </w:rPr>
      </w:pPr>
      <w:r>
        <w:rPr>
          <w:rFonts w:hint="eastAsia" w:cs="仿宋_GB2312"/>
          <w:b/>
          <w:bCs/>
          <w:color w:val="000000" w:themeColor="text1"/>
          <w:sz w:val="32"/>
          <w:szCs w:val="32"/>
          <w:shd w:val="clear" w:color="auto" w:fill="FFFFFF"/>
          <w:lang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建立监督检查机制</w:t>
      </w:r>
      <w:r>
        <w:rPr>
          <w:rFonts w:hint="eastAsia" w:cs="仿宋_GB2312"/>
          <w:b/>
          <w:bCs/>
          <w:color w:val="000000" w:themeColor="text1"/>
          <w:sz w:val="32"/>
          <w:szCs w:val="32"/>
          <w:shd w:val="clear" w:color="auto" w:fill="FFFFFF"/>
          <w:lang w:eastAsia="zh-CN"/>
          <w14:textFill>
            <w14:solidFill>
              <w14:schemeClr w14:val="tx1"/>
            </w14:solidFill>
          </w14:textFill>
        </w:rPr>
        <w:t>。</w:t>
      </w:r>
    </w:p>
    <w:p>
      <w:pPr>
        <w:pStyle w:val="5"/>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rPr>
        <w:t>对</w:t>
      </w:r>
      <w:r>
        <w:rPr>
          <w:rFonts w:hint="eastAsia" w:ascii="仿宋" w:hAnsi="仿宋" w:eastAsia="仿宋" w:cs="仿宋"/>
          <w:i w:val="0"/>
          <w:iCs w:val="0"/>
          <w:caps w:val="0"/>
          <w:spacing w:val="8"/>
          <w:sz w:val="32"/>
          <w:szCs w:val="32"/>
          <w:shd w:val="clear" w:fill="FFFFFF"/>
          <w:lang w:eastAsia="zh-CN"/>
        </w:rPr>
        <w:t>托管地址</w:t>
      </w:r>
      <w:r>
        <w:rPr>
          <w:rFonts w:hint="eastAsia" w:ascii="仿宋" w:hAnsi="仿宋" w:eastAsia="仿宋" w:cs="仿宋"/>
          <w:i w:val="0"/>
          <w:iCs w:val="0"/>
          <w:caps w:val="0"/>
          <w:spacing w:val="8"/>
          <w:sz w:val="32"/>
          <w:szCs w:val="32"/>
          <w:shd w:val="clear" w:fill="FFFFFF"/>
        </w:rPr>
        <w:t>工作进行定期检查和评估，确保工作的规范和有效进行</w:t>
      </w:r>
      <w:r>
        <w:rPr>
          <w:rFonts w:hint="eastAsia" w:ascii="仿宋" w:hAnsi="仿宋" w:eastAsia="仿宋" w:cs="仿宋"/>
          <w:i w:val="0"/>
          <w:iCs w:val="0"/>
          <w:caps w:val="0"/>
          <w:spacing w:val="8"/>
          <w:sz w:val="32"/>
          <w:szCs w:val="32"/>
          <w:shd w:val="clear" w:fill="FFFFFF"/>
          <w:lang w:eastAsia="zh-CN"/>
        </w:rPr>
        <w:t>，</w:t>
      </w:r>
      <w:r>
        <w:rPr>
          <w:rFonts w:hint="eastAsia" w:ascii="仿宋" w:hAnsi="仿宋" w:eastAsia="仿宋" w:cs="仿宋"/>
          <w:i w:val="0"/>
          <w:iCs w:val="0"/>
          <w:caps w:val="0"/>
          <w:spacing w:val="8"/>
          <w:sz w:val="32"/>
          <w:szCs w:val="32"/>
          <w:shd w:val="clear" w:fill="FFFFFF"/>
          <w:lang w:val="en-US" w:eastAsia="zh-CN"/>
        </w:rPr>
        <w:t>促进托管地址制度平稳、有效衔接，服务市场主体健康发展。</w:t>
      </w:r>
    </w:p>
    <w:p>
      <w:pPr>
        <w:pStyle w:val="5"/>
        <w:spacing w:before="1" w:line="316" w:lineRule="auto"/>
        <w:ind w:left="106" w:right="187" w:firstLine="640"/>
        <w:jc w:val="both"/>
        <w:rPr>
          <w:rFonts w:hint="eastAsia"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 xml:space="preserve">                       </w:t>
      </w:r>
    </w:p>
    <w:p>
      <w:pPr>
        <w:spacing w:before="101" w:line="222" w:lineRule="auto"/>
        <w:ind w:left="619"/>
        <w:jc w:val="right"/>
        <w:rPr>
          <w:rFonts w:hint="default"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2024年  月   日</w:t>
      </w:r>
    </w:p>
    <w:p>
      <w:pPr>
        <w:spacing w:before="101" w:line="222" w:lineRule="auto"/>
        <w:ind w:left="619"/>
        <w:rPr>
          <w:rFonts w:ascii="仿宋" w:hAnsi="仿宋" w:eastAsia="仿宋" w:cs="仿宋"/>
          <w:spacing w:val="9"/>
          <w:sz w:val="31"/>
          <w:szCs w:val="31"/>
        </w:rPr>
      </w:pPr>
    </w:p>
    <w:p>
      <w:pPr>
        <w:spacing w:before="101" w:line="222" w:lineRule="auto"/>
        <w:ind w:left="619"/>
        <w:rPr>
          <w:rFonts w:ascii="仿宋" w:hAnsi="仿宋" w:eastAsia="仿宋" w:cs="仿宋"/>
          <w:sz w:val="31"/>
          <w:szCs w:val="31"/>
        </w:rPr>
      </w:pPr>
      <w:r>
        <w:rPr>
          <w:rFonts w:ascii="仿宋" w:hAnsi="仿宋" w:eastAsia="仿宋" w:cs="仿宋"/>
          <w:spacing w:val="9"/>
          <w:sz w:val="31"/>
          <w:szCs w:val="31"/>
        </w:rPr>
        <w:t>附件：1. 《</w:t>
      </w:r>
      <w:r>
        <w:rPr>
          <w:rFonts w:hint="eastAsia" w:ascii="仿宋" w:hAnsi="仿宋" w:eastAsia="仿宋" w:cs="仿宋"/>
          <w:spacing w:val="9"/>
          <w:sz w:val="31"/>
          <w:szCs w:val="31"/>
          <w:lang w:eastAsia="zh-CN"/>
        </w:rPr>
        <w:t>泰安市托管方地址</w:t>
      </w:r>
      <w:r>
        <w:rPr>
          <w:rFonts w:hint="eastAsia" w:ascii="仿宋" w:hAnsi="仿宋" w:eastAsia="仿宋" w:cs="仿宋"/>
          <w:spacing w:val="9"/>
          <w:sz w:val="31"/>
          <w:szCs w:val="31"/>
        </w:rPr>
        <w:t>申报承诺书</w:t>
      </w:r>
      <w:r>
        <w:rPr>
          <w:rFonts w:ascii="仿宋" w:hAnsi="仿宋" w:eastAsia="仿宋" w:cs="仿宋"/>
          <w:spacing w:val="9"/>
          <w:sz w:val="31"/>
          <w:szCs w:val="31"/>
        </w:rPr>
        <w:t>》</w:t>
      </w:r>
    </w:p>
    <w:p>
      <w:pPr>
        <w:spacing w:before="186" w:line="549" w:lineRule="exact"/>
        <w:jc w:val="center"/>
        <w:rPr>
          <w:rFonts w:ascii="仿宋" w:hAnsi="仿宋" w:eastAsia="仿宋" w:cs="仿宋"/>
          <w:sz w:val="31"/>
          <w:szCs w:val="31"/>
        </w:rPr>
      </w:pPr>
      <w:r>
        <w:rPr>
          <w:rFonts w:hint="eastAsia" w:ascii="仿宋" w:hAnsi="仿宋" w:eastAsia="仿宋" w:cs="仿宋"/>
          <w:spacing w:val="4"/>
          <w:position w:val="17"/>
          <w:sz w:val="31"/>
          <w:szCs w:val="31"/>
          <w:lang w:val="en-US" w:eastAsia="zh-CN"/>
        </w:rPr>
        <w:t xml:space="preserve">         </w:t>
      </w:r>
      <w:r>
        <w:rPr>
          <w:rFonts w:ascii="仿宋" w:hAnsi="仿宋" w:eastAsia="仿宋" w:cs="仿宋"/>
          <w:spacing w:val="4"/>
          <w:position w:val="17"/>
          <w:sz w:val="31"/>
          <w:szCs w:val="31"/>
        </w:rPr>
        <w:t>2. 《</w:t>
      </w:r>
      <w:r>
        <w:rPr>
          <w:rFonts w:hint="eastAsia" w:ascii="仿宋" w:hAnsi="仿宋" w:eastAsia="仿宋" w:cs="仿宋"/>
          <w:spacing w:val="4"/>
          <w:position w:val="17"/>
          <w:sz w:val="31"/>
          <w:szCs w:val="31"/>
          <w:lang w:eastAsia="zh-CN"/>
        </w:rPr>
        <w:t>泰安</w:t>
      </w:r>
      <w:r>
        <w:rPr>
          <w:rFonts w:ascii="仿宋" w:hAnsi="仿宋" w:eastAsia="仿宋" w:cs="仿宋"/>
          <w:spacing w:val="4"/>
          <w:position w:val="17"/>
          <w:sz w:val="31"/>
          <w:szCs w:val="31"/>
        </w:rPr>
        <w:t>市</w:t>
      </w:r>
      <w:r>
        <w:rPr>
          <w:rFonts w:hint="eastAsia" w:ascii="仿宋" w:hAnsi="仿宋" w:eastAsia="仿宋" w:cs="仿宋"/>
          <w:spacing w:val="4"/>
          <w:position w:val="17"/>
          <w:sz w:val="31"/>
          <w:szCs w:val="31"/>
          <w:lang w:eastAsia="zh-CN"/>
        </w:rPr>
        <w:t>市场</w:t>
      </w:r>
      <w:r>
        <w:rPr>
          <w:rFonts w:ascii="仿宋" w:hAnsi="仿宋" w:eastAsia="仿宋" w:cs="仿宋"/>
          <w:spacing w:val="4"/>
          <w:position w:val="17"/>
          <w:sz w:val="31"/>
          <w:szCs w:val="31"/>
        </w:rPr>
        <w:t>主体住所(</w:t>
      </w:r>
      <w:r>
        <w:rPr>
          <w:rFonts w:hint="eastAsia" w:ascii="仿宋" w:hAnsi="仿宋" w:eastAsia="仿宋" w:cs="仿宋"/>
          <w:spacing w:val="4"/>
          <w:position w:val="17"/>
          <w:sz w:val="31"/>
          <w:szCs w:val="31"/>
          <w:lang w:eastAsia="zh-CN"/>
        </w:rPr>
        <w:t>经营</w:t>
      </w:r>
      <w:r>
        <w:rPr>
          <w:rFonts w:ascii="仿宋" w:hAnsi="仿宋" w:eastAsia="仿宋" w:cs="仿宋"/>
          <w:spacing w:val="4"/>
          <w:position w:val="17"/>
          <w:sz w:val="31"/>
          <w:szCs w:val="31"/>
        </w:rPr>
        <w:t>场所)登记负面清单》</w:t>
      </w: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ascii="黑体" w:hAnsi="黑体" w:eastAsia="黑体"/>
          <w:sz w:val="36"/>
          <w:szCs w:val="36"/>
        </w:rPr>
      </w:pPr>
      <w:r>
        <w:rPr>
          <w:rFonts w:hint="eastAsia" w:ascii="方正小标宋简体" w:hAnsi="方正小标宋简体" w:eastAsia="方正小标宋简体" w:cs="方正小标宋简体"/>
          <w:sz w:val="36"/>
          <w:szCs w:val="36"/>
          <w:lang w:eastAsia="zh-CN"/>
        </w:rPr>
        <w:t>泰安市托管方地址</w:t>
      </w:r>
      <w:r>
        <w:rPr>
          <w:rFonts w:hint="eastAsia" w:ascii="方正小标宋简体" w:hAnsi="方正小标宋简体" w:eastAsia="方正小标宋简体" w:cs="方正小标宋简体"/>
          <w:sz w:val="36"/>
          <w:szCs w:val="36"/>
        </w:rPr>
        <w:t>申报承诺书</w:t>
      </w:r>
    </w:p>
    <w:tbl>
      <w:tblPr>
        <w:tblStyle w:val="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708"/>
        <w:gridCol w:w="1577"/>
        <w:gridCol w:w="1981"/>
        <w:gridCol w:w="83"/>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gridSpan w:val="2"/>
          </w:tcPr>
          <w:p>
            <w:pPr>
              <w:jc w:val="center"/>
              <w:rPr>
                <w:rFonts w:hint="eastAsia" w:asciiTheme="minorEastAsia" w:hAnsiTheme="minorEastAsia" w:eastAsiaTheme="minorEastAsia" w:cstheme="minorEastAsia"/>
                <w:sz w:val="21"/>
                <w:szCs w:val="21"/>
                <w:lang w:eastAsia="zh-CN"/>
              </w:rPr>
            </w:pP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托管方</w:t>
            </w:r>
            <w:r>
              <w:rPr>
                <w:rFonts w:hint="eastAsia" w:asciiTheme="minorEastAsia" w:hAnsiTheme="minorEastAsia" w:eastAsiaTheme="minorEastAsia" w:cstheme="minorEastAsia"/>
                <w:sz w:val="21"/>
                <w:szCs w:val="21"/>
              </w:rPr>
              <w:t>名称</w:t>
            </w:r>
          </w:p>
        </w:tc>
        <w:tc>
          <w:tcPr>
            <w:tcW w:w="3558" w:type="dxa"/>
            <w:gridSpan w:val="2"/>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 </w:t>
            </w:r>
          </w:p>
        </w:tc>
        <w:tc>
          <w:tcPr>
            <w:tcW w:w="3351" w:type="dxa"/>
            <w:gridSpan w:val="2"/>
          </w:tcPr>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统一社会信用代码：</w:t>
            </w:r>
          </w:p>
          <w:p>
            <w:pPr>
              <w:rPr>
                <w:rFonts w:hint="eastAsia" w:asciiTheme="minorEastAsia" w:hAnsiTheme="minorEastAsia" w:eastAsiaTheme="minorEastAsia" w:cs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gridSpan w:val="2"/>
          </w:tcPr>
          <w:p>
            <w:pPr>
              <w:jc w:val="both"/>
              <w:rPr>
                <w:rFonts w:hint="eastAsia" w:asciiTheme="minorEastAsia" w:hAnsiTheme="minorEastAsia" w:cstheme="minorEastAsia"/>
                <w:sz w:val="21"/>
                <w:szCs w:val="21"/>
                <w:lang w:eastAsia="zh-CN"/>
              </w:rPr>
            </w:pPr>
          </w:p>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托</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管</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期</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限</w:t>
            </w:r>
          </w:p>
        </w:tc>
        <w:tc>
          <w:tcPr>
            <w:tcW w:w="6909" w:type="dxa"/>
            <w:gridSpan w:val="4"/>
          </w:tcPr>
          <w:p>
            <w:pPr>
              <w:rPr>
                <w:rFonts w:hint="eastAsia" w:asciiTheme="minorEastAsia" w:hAnsiTheme="minorEastAsia" w:eastAsiaTheme="minorEastAsia" w:cs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843" w:type="dxa"/>
            <w:vMerge w:val="restart"/>
          </w:tcPr>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托管地址信</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息</w:t>
            </w:r>
          </w:p>
        </w:tc>
        <w:tc>
          <w:tcPr>
            <w:tcW w:w="708" w:type="dxa"/>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详细地址</w:t>
            </w:r>
          </w:p>
        </w:tc>
        <w:tc>
          <w:tcPr>
            <w:tcW w:w="6909" w:type="dxa"/>
            <w:gridSpan w:val="4"/>
          </w:tcPr>
          <w:p>
            <w:pPr>
              <w:ind w:left="1890" w:hanging="1890" w:hangingChars="900"/>
              <w:rPr>
                <w:rFonts w:hint="default"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rPr>
              <w:t>山东省</w:t>
            </w:r>
            <w:r>
              <w:rPr>
                <w:rFonts w:hint="eastAsia" w:asciiTheme="minorEastAsia" w:hAnsiTheme="minorEastAsia" w:eastAsiaTheme="minorEastAsia" w:cstheme="minorEastAsia"/>
                <w:sz w:val="21"/>
                <w:szCs w:val="21"/>
                <w:lang w:eastAsia="zh-CN"/>
              </w:rPr>
              <w:t>泰安</w:t>
            </w:r>
            <w:r>
              <w:rPr>
                <w:rFonts w:hint="eastAsia" w:asciiTheme="minorEastAsia" w:hAnsiTheme="minorEastAsia" w:eastAsiaTheme="minorEastAsia" w:cstheme="minorEastAsia"/>
                <w:sz w:val="21"/>
                <w:szCs w:val="21"/>
              </w:rPr>
              <w:t xml:space="preserve">市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区（县）</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街道（乡、镇）</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 xml:space="preserve">路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none"/>
                <w:lang w:val="en-US" w:eastAsia="zh-CN"/>
              </w:rPr>
              <w:t>社区（村）</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43" w:type="dxa"/>
            <w:vMerge w:val="continue"/>
          </w:tcPr>
          <w:p>
            <w:pPr>
              <w:rPr>
                <w:rFonts w:hint="eastAsia" w:asciiTheme="minorEastAsia" w:hAnsiTheme="minorEastAsia" w:eastAsiaTheme="minorEastAsia" w:cstheme="minorEastAsia"/>
                <w:sz w:val="21"/>
                <w:szCs w:val="21"/>
              </w:rPr>
            </w:pPr>
          </w:p>
        </w:tc>
        <w:tc>
          <w:tcPr>
            <w:tcW w:w="708" w:type="dxa"/>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具体房间号</w:t>
            </w:r>
          </w:p>
        </w:tc>
        <w:tc>
          <w:tcPr>
            <w:tcW w:w="6909" w:type="dxa"/>
            <w:gridSpan w:val="4"/>
          </w:tcPr>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lang w:val="en-US" w:eastAsia="zh-CN"/>
              </w:rPr>
              <w:t xml:space="preserve"> 楼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lang w:val="en-US" w:eastAsia="zh-CN"/>
              </w:rPr>
              <w:t xml:space="preserve"> 号</w:t>
            </w:r>
            <w:r>
              <w:rPr>
                <w:rFonts w:hint="eastAsia" w:asciiTheme="minorEastAsia" w:hAnsiTheme="minorEastAsia" w:cstheme="minorEastAsia"/>
                <w:sz w:val="21"/>
                <w:szCs w:val="21"/>
                <w:lang w:val="en-US" w:eastAsia="zh-CN"/>
              </w:rPr>
              <w:t xml:space="preserve"> 至</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lang w:val="en-US" w:eastAsia="zh-CN"/>
              </w:rPr>
              <w:t>号</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lang w:val="en-US" w:eastAsia="zh-CN"/>
              </w:rPr>
              <w:t xml:space="preserve"> 排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lang w:val="en-US" w:eastAsia="zh-CN"/>
              </w:rPr>
              <w:t xml:space="preserve"> 号</w:t>
            </w:r>
            <w:r>
              <w:rPr>
                <w:rFonts w:hint="eastAsia" w:asciiTheme="minorEastAsia" w:hAnsiTheme="minorEastAsia" w:cstheme="minorEastAsia"/>
                <w:sz w:val="21"/>
                <w:szCs w:val="21"/>
                <w:lang w:val="en-US" w:eastAsia="zh-CN"/>
              </w:rPr>
              <w:t xml:space="preserve"> 至</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lang w:val="en-US" w:eastAsia="zh-CN"/>
              </w:rPr>
              <w:t>号</w:t>
            </w: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备注：请具实填写信息。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43" w:type="dxa"/>
          </w:tcPr>
          <w:p>
            <w:pP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负责人</w:t>
            </w:r>
          </w:p>
        </w:tc>
        <w:tc>
          <w:tcPr>
            <w:tcW w:w="2285" w:type="dxa"/>
            <w:gridSpan w:val="2"/>
          </w:tcPr>
          <w:p>
            <w:pPr>
              <w:rPr>
                <w:rFonts w:hint="eastAsia" w:asciiTheme="minorEastAsia" w:hAnsiTheme="minorEastAsia" w:eastAsiaTheme="minorEastAsia" w:cstheme="minorEastAsia"/>
                <w:sz w:val="21"/>
                <w:szCs w:val="21"/>
                <w:lang w:eastAsia="zh-CN"/>
              </w:rPr>
            </w:pPr>
          </w:p>
        </w:tc>
        <w:tc>
          <w:tcPr>
            <w:tcW w:w="2064" w:type="dxa"/>
            <w:gridSpan w:val="2"/>
          </w:tcPr>
          <w:p>
            <w:pPr>
              <w:rPr>
                <w:rFonts w:hint="eastAsia" w:asciiTheme="minorEastAsia" w:hAnsiTheme="minorEastAsia" w:eastAsiaTheme="minorEastAsia" w:cstheme="minorEastAsia"/>
                <w:sz w:val="21"/>
                <w:szCs w:val="21"/>
                <w:lang w:eastAsia="zh-CN"/>
              </w:rPr>
            </w:pPr>
            <w:r>
              <w:rPr>
                <w:spacing w:val="-2"/>
                <w:sz w:val="23"/>
                <w:szCs w:val="23"/>
              </w:rPr>
              <w:t>联系电话</w:t>
            </w:r>
          </w:p>
        </w:tc>
        <w:tc>
          <w:tcPr>
            <w:tcW w:w="3268" w:type="dxa"/>
          </w:tcPr>
          <w:p>
            <w:pPr>
              <w:rPr>
                <w:rFonts w:hint="eastAsia" w:asciiTheme="minorEastAsia" w:hAnsiTheme="minorEastAsia" w:eastAsiaTheme="minorEastAsia" w:cs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5" w:hRule="atLeast"/>
          <w:jc w:val="center"/>
        </w:trPr>
        <w:tc>
          <w:tcPr>
            <w:tcW w:w="8460" w:type="dxa"/>
            <w:gridSpan w:val="6"/>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w:t>
            </w:r>
            <w:r>
              <w:rPr>
                <w:rFonts w:hint="eastAsia" w:asciiTheme="minorEastAsia" w:hAnsiTheme="minorEastAsia" w:eastAsiaTheme="minorEastAsia" w:cstheme="minorEastAsia"/>
                <w:sz w:val="21"/>
                <w:szCs w:val="21"/>
                <w:lang w:eastAsia="zh-CN"/>
              </w:rPr>
              <w:t>托管方</w:t>
            </w:r>
            <w:r>
              <w:rPr>
                <w:rFonts w:hint="eastAsia" w:asciiTheme="minorEastAsia" w:hAnsiTheme="minorEastAsia" w:eastAsiaTheme="minorEastAsia" w:cstheme="minorEastAsia"/>
                <w:sz w:val="21"/>
                <w:szCs w:val="21"/>
              </w:rPr>
              <w:t xml:space="preserve">作出如下承诺：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21"/>
                <w:szCs w:val="21"/>
                <w:lang w:val="en-US" w:eastAsia="zh-CN"/>
              </w:rPr>
              <w:t xml:space="preserve"> 1.</w:t>
            </w:r>
            <w:r>
              <w:rPr>
                <w:rFonts w:hint="eastAsia" w:asciiTheme="minorEastAsia" w:hAnsiTheme="minorEastAsia" w:eastAsiaTheme="minorEastAsia" w:cstheme="minorEastAsia"/>
                <w:sz w:val="21"/>
                <w:szCs w:val="21"/>
                <w:lang w:eastAsia="zh-CN"/>
              </w:rPr>
              <w:t>托管方</w:t>
            </w:r>
            <w:r>
              <w:rPr>
                <w:rFonts w:hint="eastAsia" w:asciiTheme="minorEastAsia" w:hAnsiTheme="minorEastAsia" w:eastAsiaTheme="minorEastAsia" w:cstheme="minorEastAsia"/>
                <w:sz w:val="21"/>
                <w:szCs w:val="21"/>
              </w:rPr>
              <w:t>承诺，已取得所申报住所（</w:t>
            </w:r>
            <w:r>
              <w:rPr>
                <w:rFonts w:hint="eastAsia" w:asciiTheme="minorEastAsia" w:hAnsiTheme="minorEastAsia" w:cstheme="minorEastAsia"/>
                <w:sz w:val="21"/>
                <w:szCs w:val="21"/>
                <w:lang w:eastAsia="zh-CN"/>
              </w:rPr>
              <w:t>经营</w:t>
            </w:r>
            <w:r>
              <w:rPr>
                <w:rFonts w:hint="eastAsia" w:asciiTheme="minorEastAsia" w:hAnsiTheme="minorEastAsia" w:eastAsiaTheme="minorEastAsia" w:cstheme="minorEastAsia"/>
                <w:sz w:val="21"/>
                <w:szCs w:val="21"/>
              </w:rPr>
              <w:t>场所）的合法使用权，</w:t>
            </w:r>
            <w:r>
              <w:rPr>
                <w:rFonts w:hint="eastAsia" w:asciiTheme="minorEastAsia" w:hAnsiTheme="minorEastAsia" w:eastAsiaTheme="minorEastAsia" w:cstheme="minorEastAsia"/>
                <w:sz w:val="21"/>
                <w:szCs w:val="21"/>
                <w:lang w:eastAsia="zh-CN"/>
              </w:rPr>
              <w:t>通过租赁或转租方式获得使用权的，承诺已签订了房屋租赁合同，并经房屋所有权人同意在本住所（</w:t>
            </w:r>
            <w:r>
              <w:rPr>
                <w:rFonts w:hint="eastAsia" w:asciiTheme="minorEastAsia" w:hAnsiTheme="minorEastAsia" w:cstheme="minorEastAsia"/>
                <w:sz w:val="21"/>
                <w:szCs w:val="21"/>
                <w:lang w:eastAsia="zh-CN"/>
              </w:rPr>
              <w:t>市场</w:t>
            </w:r>
            <w:r>
              <w:rPr>
                <w:rFonts w:hint="eastAsia" w:asciiTheme="minorEastAsia" w:hAnsiTheme="minorEastAsia" w:eastAsiaTheme="minorEastAsia" w:cstheme="minorEastAsia"/>
                <w:sz w:val="21"/>
                <w:szCs w:val="21"/>
                <w:lang w:eastAsia="zh-CN"/>
              </w:rPr>
              <w:t>场所）从事生产</w:t>
            </w:r>
            <w:r>
              <w:rPr>
                <w:rFonts w:hint="eastAsia" w:asciiTheme="minorEastAsia" w:hAnsiTheme="minorEastAsia" w:cstheme="minorEastAsia"/>
                <w:sz w:val="21"/>
                <w:szCs w:val="21"/>
                <w:lang w:eastAsia="zh-CN"/>
              </w:rPr>
              <w:t>市场</w:t>
            </w:r>
            <w:r>
              <w:rPr>
                <w:rFonts w:hint="eastAsia" w:asciiTheme="minorEastAsia" w:hAnsiTheme="minorEastAsia" w:eastAsiaTheme="minorEastAsia" w:cstheme="minorEastAsia"/>
                <w:sz w:val="21"/>
                <w:szCs w:val="21"/>
                <w:lang w:eastAsia="zh-CN"/>
              </w:rPr>
              <w:t>活动。</w:t>
            </w:r>
            <w:r>
              <w:rPr>
                <w:rFonts w:hint="eastAsia" w:asciiTheme="minorEastAsia" w:hAnsiTheme="minorEastAsia" w:eastAsiaTheme="minorEastAsia" w:cstheme="minorEastAsia"/>
                <w:sz w:val="21"/>
                <w:szCs w:val="21"/>
              </w:rPr>
              <w:t>住所（</w:t>
            </w:r>
            <w:r>
              <w:rPr>
                <w:rFonts w:hint="eastAsia" w:asciiTheme="minorEastAsia" w:hAnsiTheme="minorEastAsia" w:eastAsiaTheme="minorEastAsia" w:cstheme="minorEastAsia"/>
                <w:sz w:val="21"/>
                <w:szCs w:val="21"/>
                <w:lang w:val="en-US" w:eastAsia="zh-CN"/>
              </w:rPr>
              <w:t>经营</w:t>
            </w:r>
            <w:r>
              <w:rPr>
                <w:rFonts w:hint="eastAsia" w:asciiTheme="minorEastAsia" w:hAnsiTheme="minorEastAsia" w:eastAsiaTheme="minorEastAsia" w:cstheme="minorEastAsia"/>
                <w:sz w:val="21"/>
                <w:szCs w:val="21"/>
              </w:rPr>
              <w:t>场所）</w:t>
            </w:r>
            <w:r>
              <w:rPr>
                <w:rFonts w:hint="eastAsia" w:asciiTheme="minorEastAsia" w:hAnsiTheme="minorEastAsia" w:eastAsiaTheme="minorEastAsia" w:cstheme="minorEastAsia"/>
                <w:sz w:val="21"/>
                <w:szCs w:val="21"/>
                <w:lang w:eastAsia="zh-CN"/>
              </w:rPr>
              <w:t>信息</w:t>
            </w:r>
            <w:r>
              <w:rPr>
                <w:rFonts w:hint="eastAsia" w:asciiTheme="minorEastAsia" w:hAnsiTheme="minorEastAsia" w:eastAsiaTheme="minorEastAsia" w:cstheme="minorEastAsia"/>
                <w:sz w:val="21"/>
                <w:szCs w:val="21"/>
              </w:rPr>
              <w:t>表述真实无误，如真实情况与填报不符，视为提交虚假材料，承担由此引发的相关法律责任；</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托管方</w:t>
            </w:r>
            <w:r>
              <w:rPr>
                <w:rFonts w:hint="eastAsia" w:asciiTheme="minorEastAsia" w:hAnsiTheme="minorEastAsia" w:eastAsiaTheme="minorEastAsia" w:cstheme="minorEastAsia"/>
                <w:sz w:val="21"/>
                <w:szCs w:val="21"/>
              </w:rPr>
              <w:t>承诺，该住所（</w:t>
            </w:r>
            <w:r>
              <w:rPr>
                <w:rFonts w:hint="eastAsia" w:asciiTheme="minorEastAsia" w:hAnsiTheme="minorEastAsia" w:eastAsiaTheme="minorEastAsia" w:cstheme="minorEastAsia"/>
                <w:sz w:val="21"/>
                <w:szCs w:val="21"/>
                <w:lang w:val="en-US" w:eastAsia="zh-CN"/>
              </w:rPr>
              <w:t>经营</w:t>
            </w:r>
            <w:r>
              <w:rPr>
                <w:rFonts w:hint="eastAsia" w:asciiTheme="minorEastAsia" w:hAnsiTheme="minorEastAsia" w:eastAsiaTheme="minorEastAsia" w:cstheme="minorEastAsia"/>
                <w:sz w:val="21"/>
                <w:szCs w:val="21"/>
              </w:rPr>
              <w:t>场所）不属于非法建筑、危险建筑、被拆迁房屋等依法不能用作住所（</w:t>
            </w:r>
            <w:r>
              <w:rPr>
                <w:rFonts w:hint="eastAsia" w:asciiTheme="minorEastAsia" w:hAnsiTheme="minorEastAsia" w:eastAsiaTheme="minorEastAsia" w:cstheme="minorEastAsia"/>
                <w:sz w:val="21"/>
                <w:szCs w:val="21"/>
                <w:lang w:val="en-US" w:eastAsia="zh-CN"/>
              </w:rPr>
              <w:t>经营</w:t>
            </w:r>
            <w:r>
              <w:rPr>
                <w:rFonts w:hint="eastAsia" w:asciiTheme="minorEastAsia" w:hAnsiTheme="minorEastAsia" w:eastAsiaTheme="minorEastAsia" w:cstheme="minorEastAsia"/>
                <w:sz w:val="21"/>
                <w:szCs w:val="21"/>
              </w:rPr>
              <w:t>场所）的房屋；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托管方</w:t>
            </w:r>
            <w:r>
              <w:rPr>
                <w:rFonts w:hint="eastAsia" w:asciiTheme="minorEastAsia" w:hAnsiTheme="minorEastAsia" w:eastAsiaTheme="minorEastAsia" w:cstheme="minorEastAsia"/>
                <w:sz w:val="21"/>
                <w:szCs w:val="21"/>
              </w:rPr>
              <w:t>承诺，在住所（</w:t>
            </w:r>
            <w:r>
              <w:rPr>
                <w:rFonts w:hint="eastAsia" w:asciiTheme="minorEastAsia" w:hAnsiTheme="minorEastAsia" w:eastAsiaTheme="minorEastAsia" w:cstheme="minorEastAsia"/>
                <w:sz w:val="21"/>
                <w:szCs w:val="21"/>
                <w:lang w:val="en-US" w:eastAsia="zh-CN"/>
              </w:rPr>
              <w:t>经营</w:t>
            </w:r>
            <w:r>
              <w:rPr>
                <w:rFonts w:hint="eastAsia" w:asciiTheme="minorEastAsia" w:hAnsiTheme="minorEastAsia" w:eastAsiaTheme="minorEastAsia" w:cstheme="minorEastAsia"/>
                <w:sz w:val="21"/>
                <w:szCs w:val="21"/>
              </w:rPr>
              <w:t>场所）不从事危及国家安全、存在严重安全隐患、影响人民身体健康、对环境造成污染以及国家法律法规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国务院决定和各级地方政府明确规定不得开展的生产</w:t>
            </w:r>
            <w:r>
              <w:rPr>
                <w:rFonts w:hint="eastAsia" w:asciiTheme="minorEastAsia" w:hAnsiTheme="minorEastAsia" w:cstheme="minorEastAsia"/>
                <w:sz w:val="21"/>
                <w:szCs w:val="21"/>
                <w:lang w:eastAsia="zh-CN"/>
              </w:rPr>
              <w:t>市场</w:t>
            </w:r>
            <w:r>
              <w:rPr>
                <w:rFonts w:hint="eastAsia" w:asciiTheme="minorEastAsia" w:hAnsiTheme="minorEastAsia" w:eastAsiaTheme="minorEastAsia" w:cstheme="minorEastAsia"/>
                <w:sz w:val="21"/>
                <w:szCs w:val="21"/>
              </w:rPr>
              <w:t>活动；</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托管方</w:t>
            </w:r>
            <w:r>
              <w:rPr>
                <w:rFonts w:hint="eastAsia" w:asciiTheme="minorEastAsia" w:hAnsiTheme="minorEastAsia" w:eastAsiaTheme="minorEastAsia" w:cstheme="minorEastAsia"/>
                <w:sz w:val="21"/>
                <w:szCs w:val="21"/>
              </w:rPr>
              <w:t>承诺，法律、法规规定应当经有关部门批准方可在该住所（</w:t>
            </w:r>
            <w:r>
              <w:rPr>
                <w:rFonts w:hint="eastAsia" w:asciiTheme="minorEastAsia" w:hAnsiTheme="minorEastAsia" w:eastAsiaTheme="minorEastAsia" w:cstheme="minorEastAsia"/>
                <w:sz w:val="21"/>
                <w:szCs w:val="21"/>
                <w:lang w:val="en-US" w:eastAsia="zh-CN"/>
              </w:rPr>
              <w:t>经营</w:t>
            </w:r>
            <w:r>
              <w:rPr>
                <w:rFonts w:hint="eastAsia" w:asciiTheme="minorEastAsia" w:hAnsiTheme="minorEastAsia" w:eastAsiaTheme="minorEastAsia" w:cstheme="minorEastAsia"/>
                <w:sz w:val="21"/>
                <w:szCs w:val="21"/>
              </w:rPr>
              <w:t>场所）从事相关</w:t>
            </w:r>
            <w:r>
              <w:rPr>
                <w:rFonts w:hint="eastAsia" w:asciiTheme="minorEastAsia" w:hAnsiTheme="minorEastAsia" w:cstheme="minorEastAsia"/>
                <w:sz w:val="21"/>
                <w:szCs w:val="21"/>
                <w:lang w:eastAsia="zh-CN"/>
              </w:rPr>
              <w:t>市场</w:t>
            </w:r>
            <w:r>
              <w:rPr>
                <w:rFonts w:hint="eastAsia" w:asciiTheme="minorEastAsia" w:hAnsiTheme="minorEastAsia" w:eastAsiaTheme="minorEastAsia" w:cstheme="minorEastAsia"/>
                <w:sz w:val="21"/>
                <w:szCs w:val="21"/>
              </w:rPr>
              <w:t>活动的，取得许可证或批准文件后再开展相关</w:t>
            </w:r>
            <w:r>
              <w:rPr>
                <w:rFonts w:hint="eastAsia" w:asciiTheme="minorEastAsia" w:hAnsiTheme="minorEastAsia" w:cstheme="minorEastAsia"/>
                <w:sz w:val="21"/>
                <w:szCs w:val="21"/>
                <w:lang w:eastAsia="zh-CN"/>
              </w:rPr>
              <w:t>市场</w:t>
            </w:r>
            <w:r>
              <w:rPr>
                <w:rFonts w:hint="eastAsia" w:asciiTheme="minorEastAsia" w:hAnsiTheme="minorEastAsia" w:eastAsiaTheme="minorEastAsia" w:cstheme="minorEastAsia"/>
                <w:sz w:val="21"/>
                <w:szCs w:val="21"/>
              </w:rPr>
              <w:t>活动；</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托管方</w:t>
            </w:r>
            <w:r>
              <w:rPr>
                <w:rFonts w:hint="eastAsia" w:asciiTheme="minorEastAsia" w:hAnsiTheme="minorEastAsia" w:eastAsiaTheme="minorEastAsia" w:cstheme="minorEastAsia"/>
                <w:sz w:val="21"/>
                <w:szCs w:val="21"/>
              </w:rPr>
              <w:t xml:space="preserve">承诺，自觉接受登记机关及相关部门的监督管理，如违反相关法律法规及政策规定将承担一切法律责任。                                     </w:t>
            </w:r>
          </w:p>
          <w:p>
            <w:pPr>
              <w:ind w:firstLine="4410" w:firstLineChars="2100"/>
              <w:rPr>
                <w:rFonts w:hint="eastAsia" w:asciiTheme="minorEastAsia" w:hAnsiTheme="minorEastAsia" w:eastAsiaTheme="minorEastAsia" w:cstheme="minorEastAsia"/>
                <w:sz w:val="21"/>
                <w:szCs w:val="21"/>
              </w:rPr>
            </w:pPr>
          </w:p>
          <w:p>
            <w:pPr>
              <w:ind w:firstLine="2310" w:firstLineChars="1100"/>
              <w:rPr>
                <w:rFonts w:hint="eastAsia" w:asciiTheme="minorEastAsia" w:hAnsiTheme="minorEastAsia" w:eastAsiaTheme="minorEastAsia" w:cstheme="minorEastAsia"/>
                <w:sz w:val="21"/>
                <w:szCs w:val="21"/>
              </w:rPr>
            </w:pPr>
          </w:p>
          <w:p>
            <w:pPr>
              <w:ind w:firstLine="2310" w:firstLineChars="1100"/>
              <w:rPr>
                <w:rFonts w:hint="eastAsia" w:asciiTheme="minorEastAsia" w:hAnsiTheme="minorEastAsia" w:eastAsiaTheme="minorEastAsia" w:cstheme="minorEastAsia"/>
                <w:sz w:val="21"/>
                <w:szCs w:val="21"/>
              </w:rPr>
            </w:pPr>
          </w:p>
          <w:p>
            <w:pPr>
              <w:ind w:firstLine="2310" w:firstLineChars="1100"/>
              <w:rPr>
                <w:rFonts w:hint="eastAsia" w:asciiTheme="minorEastAsia" w:hAnsiTheme="minorEastAsia" w:eastAsiaTheme="minorEastAsia" w:cstheme="minorEastAsia"/>
                <w:sz w:val="21"/>
                <w:szCs w:val="21"/>
              </w:rPr>
            </w:pPr>
          </w:p>
          <w:p>
            <w:pPr>
              <w:ind w:firstLine="2310" w:firstLineChars="1100"/>
              <w:rPr>
                <w:rFonts w:hint="eastAsia" w:asciiTheme="minorEastAsia" w:hAnsiTheme="minorEastAsia" w:eastAsiaTheme="minorEastAsia" w:cstheme="minorEastAsia"/>
                <w:sz w:val="21"/>
                <w:szCs w:val="21"/>
              </w:rPr>
            </w:pPr>
          </w:p>
          <w:p>
            <w:pPr>
              <w:ind w:firstLine="1260" w:firstLineChars="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托管方</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法人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法定代表人</w:t>
            </w:r>
            <w:r>
              <w:rPr>
                <w:rFonts w:hint="eastAsia" w:asciiTheme="minorEastAsia" w:hAnsiTheme="minorEastAsia" w:eastAsiaTheme="minorEastAsia" w:cstheme="minorEastAsia"/>
                <w:sz w:val="21"/>
                <w:szCs w:val="21"/>
                <w:lang w:val="en-US" w:eastAsia="zh-CN"/>
              </w:rPr>
              <w:t>(负责人)</w:t>
            </w:r>
            <w:r>
              <w:rPr>
                <w:rFonts w:hint="eastAsia" w:asciiTheme="minorEastAsia" w:hAnsiTheme="minorEastAsia" w:eastAsiaTheme="minorEastAsia" w:cstheme="minorEastAsia"/>
                <w:sz w:val="21"/>
                <w:szCs w:val="21"/>
              </w:rPr>
              <w:t>签字/盖章：</w:t>
            </w:r>
          </w:p>
          <w:p>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年     月     日</w:t>
            </w:r>
          </w:p>
        </w:tc>
      </w:tr>
    </w:tbl>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0" w:lineRule="exact"/>
        <w:textAlignment w:val="auto"/>
        <w:outlineLvl w:val="1"/>
      </w:pPr>
    </w:p>
    <w:p>
      <w:pPr>
        <w:pStyle w:val="5"/>
        <w:spacing w:before="1" w:line="316" w:lineRule="auto"/>
        <w:ind w:right="187" w:firstLine="6048" w:firstLineChars="1800"/>
        <w:jc w:val="both"/>
        <w:rPr>
          <w:rFonts w:hint="eastAsia" w:ascii="仿宋" w:hAnsi="仿宋" w:eastAsia="仿宋" w:cs="仿宋"/>
          <w:i w:val="0"/>
          <w:iCs w:val="0"/>
          <w:caps w:val="0"/>
          <w:spacing w:val="8"/>
          <w:sz w:val="32"/>
          <w:szCs w:val="32"/>
          <w:shd w:val="clear" w:fill="FFFFFF"/>
          <w:lang w:val="en-US" w:eastAsia="zh-CN"/>
        </w:rPr>
      </w:pPr>
    </w:p>
    <w:p>
      <w:pPr>
        <w:pStyle w:val="5"/>
        <w:spacing w:before="1" w:line="316" w:lineRule="auto"/>
        <w:ind w:right="187" w:firstLine="6048" w:firstLineChars="1800"/>
        <w:jc w:val="both"/>
        <w:rPr>
          <w:rFonts w:hint="default" w:ascii="仿宋" w:hAnsi="仿宋" w:eastAsia="仿宋" w:cs="仿宋"/>
          <w:i w:val="0"/>
          <w:iCs w:val="0"/>
          <w:caps w:val="0"/>
          <w:spacing w:val="8"/>
          <w:sz w:val="32"/>
          <w:szCs w:val="32"/>
          <w:shd w:val="clear" w:fill="FFFFFF"/>
          <w:lang w:val="en-US" w:eastAsia="zh-CN"/>
        </w:rPr>
        <w:sectPr>
          <w:footerReference r:id="rId3" w:type="default"/>
          <w:footerReference r:id="rId4" w:type="even"/>
          <w:pgSz w:w="11910" w:h="16840"/>
          <w:pgMar w:top="1580" w:right="1200" w:bottom="1580" w:left="1480" w:header="0" w:footer="1393" w:gutter="0"/>
          <w:cols w:space="720" w:num="1"/>
        </w:sectPr>
      </w:pPr>
    </w:p>
    <w:tbl>
      <w:tblPr>
        <w:tblStyle w:val="8"/>
        <w:tblW w:w="16631" w:type="dxa"/>
        <w:tblInd w:w="-788" w:type="dxa"/>
        <w:tblLayout w:type="fixed"/>
        <w:tblCellMar>
          <w:top w:w="0" w:type="dxa"/>
          <w:left w:w="108" w:type="dxa"/>
          <w:bottom w:w="0" w:type="dxa"/>
          <w:right w:w="108" w:type="dxa"/>
        </w:tblCellMar>
      </w:tblPr>
      <w:tblGrid>
        <w:gridCol w:w="1889"/>
        <w:gridCol w:w="2551"/>
        <w:gridCol w:w="5387"/>
        <w:gridCol w:w="6804"/>
      </w:tblGrid>
      <w:tr>
        <w:tblPrEx>
          <w:tblCellMar>
            <w:top w:w="0" w:type="dxa"/>
            <w:left w:w="108" w:type="dxa"/>
            <w:bottom w:w="0" w:type="dxa"/>
            <w:right w:w="108" w:type="dxa"/>
          </w:tblCellMar>
        </w:tblPrEx>
        <w:trPr>
          <w:trHeight w:val="90" w:hRule="atLeast"/>
        </w:trPr>
        <w:tc>
          <w:tcPr>
            <w:tcW w:w="16631" w:type="dxa"/>
            <w:gridSpan w:val="4"/>
            <w:tcBorders>
              <w:top w:val="nil"/>
              <w:left w:val="nil"/>
              <w:bottom w:val="nil"/>
              <w:right w:val="nil"/>
            </w:tcBorders>
            <w:shd w:val="clear" w:color="auto" w:fill="auto"/>
            <w:noWrap/>
            <w:vAlign w:val="center"/>
          </w:tcPr>
          <w:p>
            <w:pPr>
              <w:widowControl/>
              <w:spacing w:line="560" w:lineRule="exact"/>
              <w:jc w:val="center"/>
              <w:textAlignment w:val="center"/>
              <w:rPr>
                <w:rFonts w:ascii="Times New Roman" w:hAnsi="Times New Roman" w:eastAsia="方正小标宋简体" w:cs="Times New Roman"/>
                <w:color w:val="000000"/>
                <w:kern w:val="0"/>
                <w:sz w:val="36"/>
                <w:szCs w:val="36"/>
                <w:lang w:bidi="ar"/>
              </w:rPr>
            </w:pPr>
            <w:r>
              <w:rPr>
                <w:rFonts w:hint="eastAsia" w:ascii="Times New Roman" w:hAnsi="Times New Roman" w:eastAsia="方正小标宋简体" w:cs="Times New Roman"/>
                <w:color w:val="000000"/>
                <w:kern w:val="0"/>
                <w:sz w:val="44"/>
                <w:szCs w:val="44"/>
                <w:lang w:eastAsia="zh-CN" w:bidi="ar"/>
              </w:rPr>
              <w:t>泰安</w:t>
            </w:r>
            <w:r>
              <w:rPr>
                <w:rFonts w:ascii="Times New Roman" w:hAnsi="Times New Roman" w:eastAsia="方正小标宋简体" w:cs="Times New Roman"/>
                <w:color w:val="000000"/>
                <w:kern w:val="0"/>
                <w:sz w:val="44"/>
                <w:szCs w:val="44"/>
                <w:lang w:bidi="ar"/>
              </w:rPr>
              <w:t>市</w:t>
            </w:r>
            <w:r>
              <w:rPr>
                <w:rFonts w:hint="eastAsia" w:ascii="Times New Roman" w:hAnsi="Times New Roman" w:eastAsia="方正小标宋简体" w:cs="Times New Roman"/>
                <w:color w:val="000000"/>
                <w:kern w:val="0"/>
                <w:sz w:val="44"/>
                <w:szCs w:val="44"/>
                <w:lang w:eastAsia="zh-CN" w:bidi="ar"/>
              </w:rPr>
              <w:t>市场</w:t>
            </w:r>
            <w:r>
              <w:rPr>
                <w:rFonts w:ascii="Times New Roman" w:hAnsi="Times New Roman" w:eastAsia="方正小标宋简体" w:cs="Times New Roman"/>
                <w:color w:val="000000"/>
                <w:kern w:val="0"/>
                <w:sz w:val="44"/>
                <w:szCs w:val="44"/>
                <w:lang w:bidi="ar"/>
              </w:rPr>
              <w:t>主体住所（</w:t>
            </w:r>
            <w:r>
              <w:rPr>
                <w:rFonts w:hint="eastAsia" w:ascii="Times New Roman" w:hAnsi="Times New Roman" w:eastAsia="方正小标宋简体" w:cs="Times New Roman"/>
                <w:color w:val="000000"/>
                <w:kern w:val="0"/>
                <w:sz w:val="44"/>
                <w:szCs w:val="44"/>
                <w:lang w:eastAsia="zh-CN" w:bidi="ar"/>
              </w:rPr>
              <w:t>经营</w:t>
            </w:r>
            <w:r>
              <w:rPr>
                <w:rFonts w:ascii="Times New Roman" w:hAnsi="Times New Roman" w:eastAsia="方正小标宋简体" w:cs="Times New Roman"/>
                <w:color w:val="000000"/>
                <w:kern w:val="0"/>
                <w:sz w:val="44"/>
                <w:szCs w:val="44"/>
                <w:lang w:bidi="ar"/>
              </w:rPr>
              <w:t>场所）登记负面清单</w:t>
            </w:r>
          </w:p>
          <w:p>
            <w:pPr>
              <w:pStyle w:val="4"/>
              <w:ind w:firstLine="0" w:firstLineChars="0"/>
              <w:jc w:val="center"/>
              <w:rPr>
                <w:rFonts w:ascii="楷体_GB2312" w:eastAsia="楷体_GB2312"/>
                <w:sz w:val="30"/>
                <w:szCs w:val="30"/>
                <w:lang w:bidi="ar"/>
              </w:rPr>
            </w:pPr>
          </w:p>
        </w:tc>
      </w:tr>
      <w:tr>
        <w:tblPrEx>
          <w:tblCellMar>
            <w:top w:w="0" w:type="dxa"/>
            <w:left w:w="108" w:type="dxa"/>
            <w:bottom w:w="0" w:type="dxa"/>
            <w:right w:w="108" w:type="dxa"/>
          </w:tblCellMar>
        </w:tblPrEx>
        <w:trPr>
          <w:trHeight w:val="44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黑体" w:hAnsi="黑体" w:eastAsia="黑体" w:cs="Times New Roman"/>
                <w:color w:val="000000"/>
                <w:sz w:val="30"/>
                <w:szCs w:val="30"/>
              </w:rPr>
            </w:pPr>
            <w:r>
              <w:rPr>
                <w:rFonts w:ascii="黑体" w:hAnsi="黑体" w:eastAsia="黑体" w:cs="Times New Roman"/>
                <w:color w:val="000000"/>
                <w:kern w:val="0"/>
                <w:sz w:val="30"/>
                <w:szCs w:val="30"/>
                <w:lang w:bidi="ar"/>
              </w:rPr>
              <w:t>序号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黑体" w:hAnsi="黑体" w:eastAsia="黑体" w:cs="Times New Roman"/>
                <w:color w:val="000000"/>
                <w:sz w:val="30"/>
                <w:szCs w:val="30"/>
              </w:rPr>
            </w:pPr>
            <w:r>
              <w:rPr>
                <w:rFonts w:hint="eastAsia" w:ascii="黑体" w:hAnsi="黑体" w:eastAsia="黑体" w:cs="Times New Roman"/>
                <w:color w:val="000000"/>
                <w:kern w:val="0"/>
                <w:sz w:val="30"/>
                <w:szCs w:val="30"/>
                <w:lang w:eastAsia="zh-CN" w:bidi="ar"/>
              </w:rPr>
              <w:t>市场</w:t>
            </w:r>
            <w:r>
              <w:rPr>
                <w:rFonts w:ascii="黑体" w:hAnsi="黑体" w:eastAsia="黑体" w:cs="Times New Roman"/>
                <w:color w:val="000000"/>
                <w:kern w:val="0"/>
                <w:sz w:val="30"/>
                <w:szCs w:val="30"/>
                <w:lang w:bidi="ar"/>
              </w:rPr>
              <w:t>项目</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黑体" w:hAnsi="黑体" w:eastAsia="黑体" w:cs="Times New Roman"/>
                <w:color w:val="000000"/>
                <w:sz w:val="30"/>
                <w:szCs w:val="30"/>
              </w:rPr>
            </w:pPr>
            <w:r>
              <w:rPr>
                <w:rFonts w:ascii="黑体" w:hAnsi="黑体" w:eastAsia="黑体" w:cs="Times New Roman"/>
                <w:color w:val="000000"/>
                <w:kern w:val="0"/>
                <w:sz w:val="30"/>
                <w:szCs w:val="30"/>
                <w:lang w:bidi="ar"/>
              </w:rPr>
              <w:t>禁</w:t>
            </w:r>
            <w:r>
              <w:rPr>
                <w:rFonts w:hint="eastAsia" w:ascii="黑体" w:hAnsi="黑体" w:eastAsia="黑体" w:cs="Times New Roman"/>
                <w:color w:val="000000"/>
                <w:kern w:val="0"/>
                <w:sz w:val="30"/>
                <w:szCs w:val="30"/>
                <w:lang w:bidi="ar"/>
              </w:rPr>
              <w:t>限</w:t>
            </w:r>
            <w:r>
              <w:rPr>
                <w:rFonts w:ascii="黑体" w:hAnsi="黑体" w:eastAsia="黑体" w:cs="Times New Roman"/>
                <w:color w:val="000000"/>
                <w:kern w:val="0"/>
                <w:sz w:val="30"/>
                <w:szCs w:val="30"/>
                <w:lang w:bidi="ar"/>
              </w:rPr>
              <w:t>设区域</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黑体" w:hAnsi="黑体" w:eastAsia="黑体" w:cs="Times New Roman"/>
                <w:color w:val="000000"/>
                <w:sz w:val="30"/>
                <w:szCs w:val="30"/>
              </w:rPr>
            </w:pPr>
            <w:r>
              <w:rPr>
                <w:rFonts w:ascii="黑体" w:hAnsi="黑体" w:eastAsia="黑体" w:cs="Times New Roman"/>
                <w:color w:val="000000"/>
                <w:kern w:val="0"/>
                <w:sz w:val="30"/>
                <w:szCs w:val="30"/>
                <w:lang w:bidi="ar"/>
              </w:rPr>
              <w:t xml:space="preserve">禁 </w:t>
            </w:r>
            <w:r>
              <w:rPr>
                <w:rFonts w:hint="eastAsia" w:ascii="黑体" w:hAnsi="黑体" w:eastAsia="黑体" w:cs="Times New Roman"/>
                <w:color w:val="000000"/>
                <w:kern w:val="0"/>
                <w:sz w:val="30"/>
                <w:szCs w:val="30"/>
                <w:lang w:bidi="ar"/>
              </w:rPr>
              <w:t xml:space="preserve">限 </w:t>
            </w:r>
            <w:r>
              <w:rPr>
                <w:rFonts w:ascii="黑体" w:hAnsi="黑体" w:eastAsia="黑体" w:cs="Times New Roman"/>
                <w:color w:val="000000"/>
                <w:kern w:val="0"/>
                <w:sz w:val="30"/>
                <w:szCs w:val="30"/>
                <w:lang w:bidi="ar"/>
              </w:rPr>
              <w:t>设 依 据</w:t>
            </w:r>
          </w:p>
        </w:tc>
      </w:tr>
      <w:tr>
        <w:tblPrEx>
          <w:tblCellMar>
            <w:top w:w="0" w:type="dxa"/>
            <w:left w:w="108" w:type="dxa"/>
            <w:bottom w:w="0" w:type="dxa"/>
            <w:right w:w="108" w:type="dxa"/>
          </w:tblCellMar>
        </w:tblPrEx>
        <w:trPr>
          <w:trHeight w:val="284" w:hRule="atLeast"/>
        </w:trPr>
        <w:tc>
          <w:tcPr>
            <w:tcW w:w="1889"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1</w:t>
            </w:r>
          </w:p>
        </w:tc>
        <w:tc>
          <w:tcPr>
            <w:tcW w:w="2551" w:type="dxa"/>
            <w:vMerge w:val="restart"/>
            <w:tcBorders>
              <w:top w:val="single" w:color="000000" w:sz="4" w:space="0"/>
              <w:left w:val="single" w:color="000000" w:sz="4" w:space="0"/>
              <w:right w:val="single" w:color="auto"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所有</w:t>
            </w:r>
            <w:r>
              <w:rPr>
                <w:rFonts w:hint="eastAsia" w:ascii="仿宋_GB2312" w:hAnsi="Times New Roman" w:eastAsia="仿宋_GB2312" w:cs="Times New Roman"/>
                <w:kern w:val="0"/>
                <w:sz w:val="24"/>
                <w:lang w:eastAsia="zh-CN" w:bidi="ar"/>
              </w:rPr>
              <w:t>市场</w:t>
            </w:r>
            <w:r>
              <w:rPr>
                <w:rFonts w:hint="eastAsia" w:ascii="仿宋_GB2312" w:hAnsi="Times New Roman" w:eastAsia="仿宋_GB2312" w:cs="Times New Roman"/>
                <w:kern w:val="0"/>
                <w:sz w:val="24"/>
                <w:lang w:bidi="ar"/>
              </w:rPr>
              <w:t>活动</w:t>
            </w:r>
          </w:p>
        </w:tc>
        <w:tc>
          <w:tcPr>
            <w:tcW w:w="538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1.违法建筑；</w:t>
            </w:r>
          </w:p>
        </w:tc>
        <w:tc>
          <w:tcPr>
            <w:tcW w:w="6804"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Style w:val="12"/>
                <w:rFonts w:hint="eastAsia" w:ascii="仿宋_GB2312" w:hAnsi="Times New Roman" w:eastAsia="仿宋_GB2312" w:cs="Times New Roman"/>
                <w:color w:val="auto"/>
                <w:lang w:bidi="ar"/>
              </w:rPr>
              <w:t>《国务院关于印发注册资本登记制度改革方案的通知》（国发[2014]7号）第三章第七条、《城市危险房屋管理规定》第九条、《国有土地上房屋征收与补偿条例》第十六条、《</w:t>
            </w:r>
            <w:r>
              <w:rPr>
                <w:rStyle w:val="12"/>
                <w:rFonts w:hint="eastAsia" w:ascii="仿宋_GB2312" w:hAnsi="Times New Roman" w:eastAsia="仿宋_GB2312" w:cs="Times New Roman"/>
                <w:color w:val="auto"/>
                <w:lang w:eastAsia="zh-CN" w:bidi="ar"/>
              </w:rPr>
              <w:t>市场</w:t>
            </w:r>
            <w:r>
              <w:rPr>
                <w:rStyle w:val="12"/>
                <w:rFonts w:hint="eastAsia" w:ascii="仿宋_GB2312" w:hAnsi="Times New Roman" w:eastAsia="仿宋_GB2312" w:cs="Times New Roman"/>
                <w:color w:val="auto"/>
                <w:lang w:bidi="ar"/>
              </w:rPr>
              <w:t>适用住房管理办法》第三十三条、《中华人民共和国军事设施保护法》第四条。</w:t>
            </w:r>
          </w:p>
        </w:tc>
      </w:tr>
      <w:tr>
        <w:tblPrEx>
          <w:tblCellMar>
            <w:top w:w="0" w:type="dxa"/>
            <w:left w:w="108" w:type="dxa"/>
            <w:bottom w:w="0" w:type="dxa"/>
            <w:right w:w="108" w:type="dxa"/>
          </w:tblCellMar>
        </w:tblPrEx>
        <w:trPr>
          <w:trHeight w:val="288" w:hRule="atLeast"/>
        </w:trPr>
        <w:tc>
          <w:tcPr>
            <w:tcW w:w="1889" w:type="dxa"/>
            <w:vMerge w:val="continue"/>
            <w:tcBorders>
              <w:left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sz w:val="24"/>
              </w:rPr>
            </w:pPr>
          </w:p>
        </w:tc>
        <w:tc>
          <w:tcPr>
            <w:tcW w:w="2551" w:type="dxa"/>
            <w:vMerge w:val="continue"/>
            <w:tcBorders>
              <w:left w:val="single" w:color="000000" w:sz="4" w:space="0"/>
              <w:right w:val="single" w:color="auto" w:sz="4" w:space="0"/>
            </w:tcBorders>
            <w:shd w:val="clear" w:color="auto" w:fill="auto"/>
            <w:vAlign w:val="center"/>
          </w:tcPr>
          <w:p>
            <w:pPr>
              <w:widowControl/>
              <w:rPr>
                <w:rFonts w:ascii="仿宋_GB2312" w:hAnsi="Times New Roman" w:eastAsia="仿宋_GB2312" w:cs="Times New Roman"/>
                <w:sz w:val="24"/>
              </w:rPr>
            </w:pPr>
          </w:p>
        </w:tc>
        <w:tc>
          <w:tcPr>
            <w:tcW w:w="538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2.经鉴定的危房；</w:t>
            </w:r>
          </w:p>
        </w:tc>
        <w:tc>
          <w:tcPr>
            <w:tcW w:w="6804" w:type="dxa"/>
            <w:vMerge w:val="continue"/>
            <w:tcBorders>
              <w:left w:val="single" w:color="000000" w:sz="4" w:space="0"/>
              <w:right w:val="single" w:color="000000" w:sz="4" w:space="0"/>
            </w:tcBorders>
            <w:shd w:val="clear" w:color="auto" w:fill="auto"/>
            <w:vAlign w:val="center"/>
          </w:tcPr>
          <w:p>
            <w:pPr>
              <w:widowControl/>
              <w:rPr>
                <w:rFonts w:ascii="仿宋_GB2312" w:hAnsi="Times New Roman" w:eastAsia="仿宋_GB2312" w:cs="Times New Roman"/>
                <w:sz w:val="24"/>
              </w:rPr>
            </w:pPr>
          </w:p>
        </w:tc>
      </w:tr>
      <w:tr>
        <w:tblPrEx>
          <w:tblCellMar>
            <w:top w:w="0" w:type="dxa"/>
            <w:left w:w="108" w:type="dxa"/>
            <w:bottom w:w="0" w:type="dxa"/>
            <w:right w:w="108" w:type="dxa"/>
          </w:tblCellMar>
        </w:tblPrEx>
        <w:trPr>
          <w:trHeight w:val="280" w:hRule="atLeast"/>
        </w:trPr>
        <w:tc>
          <w:tcPr>
            <w:tcW w:w="1889" w:type="dxa"/>
            <w:vMerge w:val="continue"/>
            <w:tcBorders>
              <w:left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sz w:val="24"/>
              </w:rPr>
            </w:pPr>
          </w:p>
        </w:tc>
        <w:tc>
          <w:tcPr>
            <w:tcW w:w="2551" w:type="dxa"/>
            <w:vMerge w:val="continue"/>
            <w:tcBorders>
              <w:left w:val="single" w:color="000000" w:sz="4" w:space="0"/>
              <w:right w:val="single" w:color="auto" w:sz="4" w:space="0"/>
            </w:tcBorders>
            <w:shd w:val="clear" w:color="auto" w:fill="auto"/>
            <w:vAlign w:val="center"/>
          </w:tcPr>
          <w:p>
            <w:pPr>
              <w:widowControl/>
              <w:rPr>
                <w:rFonts w:ascii="仿宋_GB2312" w:hAnsi="Times New Roman" w:eastAsia="仿宋_GB2312" w:cs="Times New Roman"/>
                <w:sz w:val="24"/>
              </w:rPr>
            </w:pPr>
          </w:p>
        </w:tc>
        <w:tc>
          <w:tcPr>
            <w:tcW w:w="5387" w:type="dxa"/>
            <w:tcBorders>
              <w:top w:val="single" w:color="000000" w:sz="4" w:space="0"/>
              <w:left w:val="single" w:color="auto" w:sz="4" w:space="0"/>
              <w:bottom w:val="single" w:color="auto" w:sz="4" w:space="0"/>
              <w:right w:val="single" w:color="000000" w:sz="4" w:space="0"/>
            </w:tcBorders>
            <w:shd w:val="clear" w:color="auto" w:fill="auto"/>
            <w:vAlign w:val="center"/>
          </w:tcPr>
          <w:p>
            <w:pPr>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3.被征收房屋；</w:t>
            </w:r>
          </w:p>
        </w:tc>
        <w:tc>
          <w:tcPr>
            <w:tcW w:w="6804" w:type="dxa"/>
            <w:vMerge w:val="continue"/>
            <w:tcBorders>
              <w:left w:val="single" w:color="000000" w:sz="4" w:space="0"/>
              <w:right w:val="single" w:color="000000" w:sz="4" w:space="0"/>
            </w:tcBorders>
            <w:shd w:val="clear" w:color="auto" w:fill="auto"/>
            <w:vAlign w:val="center"/>
          </w:tcPr>
          <w:p>
            <w:pPr>
              <w:widowControl/>
              <w:rPr>
                <w:rFonts w:ascii="仿宋_GB2312" w:hAnsi="Times New Roman" w:eastAsia="仿宋_GB2312" w:cs="Times New Roman"/>
                <w:sz w:val="24"/>
              </w:rPr>
            </w:pPr>
          </w:p>
        </w:tc>
      </w:tr>
      <w:tr>
        <w:tblPrEx>
          <w:tblCellMar>
            <w:top w:w="0" w:type="dxa"/>
            <w:left w:w="108" w:type="dxa"/>
            <w:bottom w:w="0" w:type="dxa"/>
            <w:right w:w="108" w:type="dxa"/>
          </w:tblCellMar>
        </w:tblPrEx>
        <w:trPr>
          <w:trHeight w:val="476" w:hRule="atLeast"/>
        </w:trPr>
        <w:tc>
          <w:tcPr>
            <w:tcW w:w="1889" w:type="dxa"/>
            <w:vMerge w:val="continue"/>
            <w:tcBorders>
              <w:left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sz w:val="24"/>
              </w:rPr>
            </w:pPr>
          </w:p>
        </w:tc>
        <w:tc>
          <w:tcPr>
            <w:tcW w:w="2551" w:type="dxa"/>
            <w:vMerge w:val="continue"/>
            <w:tcBorders>
              <w:left w:val="single" w:color="000000" w:sz="4" w:space="0"/>
              <w:right w:val="single" w:color="auto" w:sz="4" w:space="0"/>
            </w:tcBorders>
            <w:shd w:val="clear" w:color="auto" w:fill="auto"/>
            <w:vAlign w:val="center"/>
          </w:tcPr>
          <w:p>
            <w:pPr>
              <w:widowControl/>
              <w:rPr>
                <w:rFonts w:ascii="仿宋_GB2312" w:hAnsi="Times New Roman" w:eastAsia="仿宋_GB2312" w:cs="Times New Roman"/>
                <w:sz w:val="24"/>
              </w:rPr>
            </w:pPr>
          </w:p>
        </w:tc>
        <w:tc>
          <w:tcPr>
            <w:tcW w:w="5387" w:type="dxa"/>
            <w:tcBorders>
              <w:top w:val="single" w:color="auto" w:sz="4" w:space="0"/>
              <w:left w:val="single" w:color="auto" w:sz="4" w:space="0"/>
              <w:bottom w:val="single" w:color="000000" w:sz="4" w:space="0"/>
              <w:right w:val="single" w:color="000000" w:sz="4" w:space="0"/>
            </w:tcBorders>
            <w:shd w:val="clear" w:color="auto" w:fill="auto"/>
            <w:vAlign w:val="center"/>
          </w:tcPr>
          <w:p>
            <w:pPr>
              <w:textAlignment w:val="center"/>
              <w:rPr>
                <w:rFonts w:ascii="仿宋_GB2312" w:hAnsi="Times New Roman" w:eastAsia="仿宋_GB2312" w:cs="Times New Roman"/>
                <w:kern w:val="0"/>
                <w:sz w:val="24"/>
                <w:lang w:bidi="ar"/>
              </w:rPr>
            </w:pPr>
            <w:r>
              <w:rPr>
                <w:rFonts w:hint="eastAsia" w:ascii="仿宋_GB2312" w:hAnsi="Times New Roman" w:eastAsia="仿宋_GB2312" w:cs="Times New Roman"/>
                <w:kern w:val="0"/>
                <w:sz w:val="24"/>
                <w:lang w:bidi="ar"/>
              </w:rPr>
              <w:t>4.保障性住房（房租房、公租房）；</w:t>
            </w:r>
          </w:p>
        </w:tc>
        <w:tc>
          <w:tcPr>
            <w:tcW w:w="6804" w:type="dxa"/>
            <w:vMerge w:val="continue"/>
            <w:tcBorders>
              <w:left w:val="single" w:color="000000" w:sz="4" w:space="0"/>
              <w:right w:val="single" w:color="000000" w:sz="4" w:space="0"/>
            </w:tcBorders>
            <w:shd w:val="clear" w:color="auto" w:fill="auto"/>
            <w:vAlign w:val="center"/>
          </w:tcPr>
          <w:p>
            <w:pPr>
              <w:widowControl/>
              <w:rPr>
                <w:rFonts w:ascii="仿宋_GB2312" w:hAnsi="Times New Roman" w:eastAsia="仿宋_GB2312" w:cs="Times New Roman"/>
                <w:sz w:val="24"/>
              </w:rPr>
            </w:pPr>
          </w:p>
        </w:tc>
      </w:tr>
      <w:tr>
        <w:tblPrEx>
          <w:tblCellMar>
            <w:top w:w="0" w:type="dxa"/>
            <w:left w:w="108" w:type="dxa"/>
            <w:bottom w:w="0" w:type="dxa"/>
            <w:right w:w="108" w:type="dxa"/>
          </w:tblCellMar>
        </w:tblPrEx>
        <w:trPr>
          <w:trHeight w:val="237" w:hRule="atLeast"/>
        </w:trPr>
        <w:tc>
          <w:tcPr>
            <w:tcW w:w="1889" w:type="dxa"/>
            <w:vMerge w:val="continue"/>
            <w:tcBorders>
              <w:left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sz w:val="24"/>
              </w:rPr>
            </w:pPr>
          </w:p>
        </w:tc>
        <w:tc>
          <w:tcPr>
            <w:tcW w:w="2551" w:type="dxa"/>
            <w:vMerge w:val="continue"/>
            <w:tcBorders>
              <w:left w:val="single" w:color="000000" w:sz="4" w:space="0"/>
              <w:right w:val="single" w:color="auto" w:sz="4" w:space="0"/>
            </w:tcBorders>
            <w:shd w:val="clear" w:color="auto" w:fill="auto"/>
            <w:vAlign w:val="center"/>
          </w:tcPr>
          <w:p>
            <w:pPr>
              <w:widowControl/>
              <w:rPr>
                <w:rFonts w:ascii="仿宋_GB2312" w:hAnsi="Times New Roman" w:eastAsia="仿宋_GB2312" w:cs="Times New Roman"/>
                <w:sz w:val="24"/>
              </w:rPr>
            </w:pPr>
          </w:p>
        </w:tc>
        <w:tc>
          <w:tcPr>
            <w:tcW w:w="5387"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5.军事禁区、军事管理区。</w:t>
            </w:r>
          </w:p>
        </w:tc>
        <w:tc>
          <w:tcPr>
            <w:tcW w:w="6804" w:type="dxa"/>
            <w:vMerge w:val="continue"/>
            <w:tcBorders>
              <w:left w:val="single" w:color="000000" w:sz="4" w:space="0"/>
              <w:right w:val="single" w:color="000000" w:sz="4" w:space="0"/>
            </w:tcBorders>
            <w:shd w:val="clear" w:color="auto" w:fill="auto"/>
            <w:vAlign w:val="center"/>
          </w:tcPr>
          <w:p>
            <w:pPr>
              <w:widowControl/>
              <w:rPr>
                <w:rFonts w:ascii="仿宋_GB2312" w:hAnsi="Times New Roman" w:eastAsia="仿宋_GB2312" w:cs="Times New Roman"/>
                <w:sz w:val="24"/>
              </w:rPr>
            </w:pPr>
          </w:p>
        </w:tc>
      </w:tr>
      <w:tr>
        <w:tblPrEx>
          <w:tblCellMar>
            <w:top w:w="0" w:type="dxa"/>
            <w:left w:w="108" w:type="dxa"/>
            <w:bottom w:w="0" w:type="dxa"/>
            <w:right w:w="108" w:type="dxa"/>
          </w:tblCellMar>
        </w:tblPrEx>
        <w:trPr>
          <w:trHeight w:val="497" w:hRule="atLeast"/>
        </w:trPr>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生产</w:t>
            </w:r>
            <w:r>
              <w:rPr>
                <w:rFonts w:hint="eastAsia" w:ascii="仿宋_GB2312" w:hAnsi="Times New Roman" w:eastAsia="仿宋_GB2312" w:cs="Times New Roman"/>
                <w:kern w:val="0"/>
                <w:sz w:val="24"/>
                <w:lang w:eastAsia="zh-CN" w:bidi="ar"/>
              </w:rPr>
              <w:t>市场</w:t>
            </w:r>
            <w:r>
              <w:rPr>
                <w:rFonts w:hint="eastAsia" w:ascii="仿宋_GB2312" w:hAnsi="Times New Roman" w:eastAsia="仿宋_GB2312" w:cs="Times New Roman"/>
                <w:kern w:val="0"/>
                <w:sz w:val="24"/>
                <w:lang w:bidi="ar"/>
              </w:rPr>
              <w:t>、储存危险品（含易燃易爆品、剧毒品、放射性物品、腐蚀性物品）</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1.居住场所建筑物内，并保持安全距离；</w:t>
            </w:r>
          </w:p>
        </w:tc>
        <w:tc>
          <w:tcPr>
            <w:tcW w:w="6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《消防法》第十九条、《人民防空法》第二十七条。</w:t>
            </w:r>
          </w:p>
        </w:tc>
      </w:tr>
      <w:tr>
        <w:tblPrEx>
          <w:tblCellMar>
            <w:top w:w="0" w:type="dxa"/>
            <w:left w:w="108" w:type="dxa"/>
            <w:bottom w:w="0" w:type="dxa"/>
            <w:right w:w="108" w:type="dxa"/>
          </w:tblCellMar>
        </w:tblPrEx>
        <w:trPr>
          <w:trHeight w:val="547"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sz w:val="24"/>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Times New Roman" w:eastAsia="仿宋_GB2312" w:cs="Times New Roman"/>
                <w:sz w:val="24"/>
              </w:rPr>
            </w:pP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2.人民防空工程内。</w:t>
            </w:r>
          </w:p>
        </w:tc>
        <w:tc>
          <w:tcPr>
            <w:tcW w:w="6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Times New Roman" w:eastAsia="仿宋_GB2312" w:cs="Times New Roman"/>
                <w:sz w:val="24"/>
              </w:rPr>
            </w:pPr>
          </w:p>
        </w:tc>
      </w:tr>
      <w:tr>
        <w:tblPrEx>
          <w:tblCellMar>
            <w:top w:w="0" w:type="dxa"/>
            <w:left w:w="108" w:type="dxa"/>
            <w:bottom w:w="0" w:type="dxa"/>
            <w:right w:w="108" w:type="dxa"/>
          </w:tblCellMar>
        </w:tblPrEx>
        <w:trPr>
          <w:trHeight w:val="516" w:hRule="atLeast"/>
        </w:trPr>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3</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开办互联网上网服务营业场所</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1.中小学校园周边200米范围内，幼儿园周边；</w:t>
            </w:r>
          </w:p>
        </w:tc>
        <w:tc>
          <w:tcPr>
            <w:tcW w:w="6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《互联网上网服务营业场所管理条例》第九条。《未成年人保护法》第五十八条、《山东省未成年人保护条例》第三十一条。</w:t>
            </w:r>
          </w:p>
        </w:tc>
      </w:tr>
      <w:tr>
        <w:tblPrEx>
          <w:tblCellMar>
            <w:top w:w="0" w:type="dxa"/>
            <w:left w:w="108" w:type="dxa"/>
            <w:bottom w:w="0" w:type="dxa"/>
            <w:right w:w="108" w:type="dxa"/>
          </w:tblCellMar>
        </w:tblPrEx>
        <w:trPr>
          <w:trHeight w:val="368"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sz w:val="24"/>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Times New Roman" w:eastAsia="仿宋_GB2312" w:cs="Times New Roman"/>
                <w:sz w:val="24"/>
              </w:rPr>
            </w:pP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2.居民住宅楼（院）内。</w:t>
            </w:r>
          </w:p>
        </w:tc>
        <w:tc>
          <w:tcPr>
            <w:tcW w:w="6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Times New Roman" w:eastAsia="仿宋_GB2312" w:cs="Times New Roman"/>
                <w:sz w:val="24"/>
              </w:rPr>
            </w:pPr>
          </w:p>
        </w:tc>
      </w:tr>
      <w:tr>
        <w:tblPrEx>
          <w:tblCellMar>
            <w:top w:w="0" w:type="dxa"/>
            <w:left w:w="108" w:type="dxa"/>
            <w:bottom w:w="0" w:type="dxa"/>
            <w:right w:w="108" w:type="dxa"/>
          </w:tblCellMar>
        </w:tblPrEx>
        <w:trPr>
          <w:trHeight w:val="457" w:hRule="atLeast"/>
        </w:trPr>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4</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开办营业性娱乐场所（含营业性歌舞厅、电子游戏场所</w:t>
            </w:r>
            <w:r>
              <w:rPr>
                <w:rFonts w:hint="eastAsia" w:ascii="仿宋_GB2312" w:hAnsi="Times New Roman" w:eastAsia="仿宋_GB2312" w:cs="Times New Roman"/>
                <w:kern w:val="0"/>
                <w:sz w:val="24"/>
                <w:lang w:eastAsia="zh-CN" w:bidi="ar"/>
              </w:rPr>
              <w:t>、</w:t>
            </w:r>
            <w:r>
              <w:rPr>
                <w:rFonts w:hint="eastAsia" w:ascii="仿宋_GB2312" w:hAnsi="Times New Roman" w:eastAsia="仿宋_GB2312" w:cs="Times New Roman"/>
                <w:kern w:val="0"/>
                <w:sz w:val="24"/>
                <w:highlight w:val="red"/>
                <w:lang w:bidi="ar"/>
              </w:rPr>
              <w:t>剧本娱乐</w:t>
            </w:r>
            <w:r>
              <w:rPr>
                <w:rFonts w:hint="eastAsia" w:ascii="仿宋_GB2312" w:hAnsi="Times New Roman" w:eastAsia="仿宋_GB2312" w:cs="Times New Roman"/>
                <w:kern w:val="0"/>
                <w:sz w:val="24"/>
                <w:lang w:bidi="ar"/>
              </w:rPr>
              <w:t>）</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1.居民楼、博物馆、图书馆和被核定为文物保护单位的建筑物内；</w:t>
            </w:r>
          </w:p>
        </w:tc>
        <w:tc>
          <w:tcPr>
            <w:tcW w:w="6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sz w:val="24"/>
                <w:lang w:bidi="ar"/>
              </w:rPr>
            </w:pPr>
            <w:r>
              <w:rPr>
                <w:rFonts w:hint="eastAsia" w:ascii="仿宋_GB2312" w:hAnsi="Times New Roman" w:eastAsia="仿宋_GB2312" w:cs="Times New Roman"/>
                <w:kern w:val="0"/>
                <w:sz w:val="24"/>
                <w:lang w:bidi="ar"/>
              </w:rPr>
              <w:t>《娱乐场所管理条例》第七条、《预防未成年人犯罪法》第二十六条、《未成年人保护法》第五十八条、《山东省未成年人保护条例》第三十一条。</w:t>
            </w:r>
            <w:r>
              <w:rPr>
                <w:rFonts w:hint="eastAsia" w:ascii="仿宋_GB2312" w:hAnsi="Times New Roman" w:eastAsia="仿宋_GB2312" w:cs="Times New Roman"/>
                <w:kern w:val="0"/>
                <w:sz w:val="24"/>
                <w:highlight w:val="red"/>
                <w:lang w:bidi="ar"/>
              </w:rPr>
              <w:t>《文化和旅游部 公安部 住房和城乡建设部 应急管理部 市场监管总局关于加强剧本娱乐</w:t>
            </w:r>
            <w:r>
              <w:rPr>
                <w:rFonts w:hint="eastAsia" w:ascii="仿宋_GB2312" w:hAnsi="Times New Roman" w:eastAsia="仿宋_GB2312" w:cs="Times New Roman"/>
                <w:kern w:val="0"/>
                <w:sz w:val="24"/>
                <w:highlight w:val="red"/>
                <w:lang w:eastAsia="zh-CN" w:bidi="ar"/>
              </w:rPr>
              <w:t>市场</w:t>
            </w:r>
            <w:r>
              <w:rPr>
                <w:rFonts w:hint="eastAsia" w:ascii="仿宋_GB2312" w:hAnsi="Times New Roman" w:eastAsia="仿宋_GB2312" w:cs="Times New Roman"/>
                <w:kern w:val="0"/>
                <w:sz w:val="24"/>
                <w:highlight w:val="red"/>
                <w:lang w:bidi="ar"/>
              </w:rPr>
              <w:t>场所管理的通知》（文旅市场发〔2022〕70号）第五条</w:t>
            </w:r>
          </w:p>
        </w:tc>
      </w:tr>
      <w:tr>
        <w:tblPrEx>
          <w:tblCellMar>
            <w:top w:w="0" w:type="dxa"/>
            <w:left w:w="108" w:type="dxa"/>
            <w:bottom w:w="0" w:type="dxa"/>
            <w:right w:w="108" w:type="dxa"/>
          </w:tblCellMar>
        </w:tblPrEx>
        <w:trPr>
          <w:trHeight w:val="253"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sz w:val="24"/>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Times New Roman" w:eastAsia="仿宋_GB2312" w:cs="Times New Roman"/>
                <w:sz w:val="24"/>
              </w:rPr>
            </w:pP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ind w:firstLine="0" w:firstLineChars="0"/>
              <w:rPr>
                <w:rFonts w:ascii="仿宋_GB2312" w:hAnsi="Times New Roman" w:eastAsia="仿宋_GB2312" w:cs="Times New Roman"/>
                <w:sz w:val="24"/>
              </w:rPr>
            </w:pPr>
            <w:r>
              <w:rPr>
                <w:rFonts w:hint="eastAsia" w:ascii="仿宋_GB2312" w:hAnsi="Times New Roman" w:eastAsia="仿宋_GB2312" w:cs="Times New Roman"/>
                <w:kern w:val="0"/>
                <w:sz w:val="24"/>
                <w:lang w:bidi="ar"/>
              </w:rPr>
              <w:t>2.居民住宅区和学校、医院、机关、幼儿园周围；在中小学校校园周围外延直线距离二百米以内；</w:t>
            </w:r>
          </w:p>
        </w:tc>
        <w:tc>
          <w:tcPr>
            <w:tcW w:w="6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Times New Roman" w:eastAsia="仿宋_GB2312" w:cs="Times New Roman"/>
                <w:sz w:val="24"/>
              </w:rPr>
            </w:pPr>
          </w:p>
        </w:tc>
      </w:tr>
      <w:tr>
        <w:tblPrEx>
          <w:tblCellMar>
            <w:top w:w="0" w:type="dxa"/>
            <w:left w:w="108" w:type="dxa"/>
            <w:bottom w:w="0" w:type="dxa"/>
            <w:right w:w="108" w:type="dxa"/>
          </w:tblCellMar>
        </w:tblPrEx>
        <w:trPr>
          <w:trHeight w:val="333"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sz w:val="24"/>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Times New Roman" w:eastAsia="仿宋_GB2312" w:cs="Times New Roman"/>
                <w:sz w:val="24"/>
              </w:rPr>
            </w:pP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3.车站、机场等人群密集的场所；</w:t>
            </w:r>
          </w:p>
        </w:tc>
        <w:tc>
          <w:tcPr>
            <w:tcW w:w="6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Times New Roman" w:eastAsia="仿宋_GB2312" w:cs="Times New Roman"/>
                <w:sz w:val="24"/>
              </w:rPr>
            </w:pPr>
          </w:p>
        </w:tc>
      </w:tr>
      <w:tr>
        <w:tblPrEx>
          <w:tblCellMar>
            <w:top w:w="0" w:type="dxa"/>
            <w:left w:w="108" w:type="dxa"/>
            <w:bottom w:w="0" w:type="dxa"/>
            <w:right w:w="108" w:type="dxa"/>
          </w:tblCellMar>
        </w:tblPrEx>
        <w:trPr>
          <w:trHeight w:val="267"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sz w:val="24"/>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Times New Roman" w:eastAsia="仿宋_GB2312" w:cs="Times New Roman"/>
                <w:sz w:val="24"/>
              </w:rPr>
            </w:pP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4.建筑物地下一层以下</w:t>
            </w:r>
            <w:r>
              <w:rPr>
                <w:rFonts w:hint="eastAsia" w:ascii="仿宋_GB2312" w:hAnsi="Times New Roman" w:eastAsia="仿宋_GB2312" w:cs="Times New Roman"/>
                <w:kern w:val="0"/>
                <w:sz w:val="24"/>
                <w:lang w:eastAsia="zh-CN" w:bidi="ar"/>
              </w:rPr>
              <w:t>（</w:t>
            </w:r>
            <w:r>
              <w:rPr>
                <w:rFonts w:hint="eastAsia" w:ascii="仿宋_GB2312" w:hAnsi="Times New Roman" w:eastAsia="仿宋_GB2312" w:cs="Times New Roman"/>
                <w:kern w:val="0"/>
                <w:sz w:val="24"/>
                <w:highlight w:val="red"/>
                <w:lang w:eastAsia="zh-CN" w:bidi="ar"/>
              </w:rPr>
              <w:t>不含地下一层）</w:t>
            </w:r>
            <w:r>
              <w:rPr>
                <w:rFonts w:hint="eastAsia" w:ascii="仿宋_GB2312" w:hAnsi="Times New Roman" w:eastAsia="仿宋_GB2312" w:cs="Times New Roman"/>
                <w:kern w:val="0"/>
                <w:sz w:val="24"/>
                <w:lang w:bidi="ar"/>
              </w:rPr>
              <w:t>；</w:t>
            </w:r>
          </w:p>
        </w:tc>
        <w:tc>
          <w:tcPr>
            <w:tcW w:w="6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Times New Roman" w:eastAsia="仿宋_GB2312" w:cs="Times New Roman"/>
                <w:sz w:val="24"/>
              </w:rPr>
            </w:pPr>
          </w:p>
        </w:tc>
      </w:tr>
      <w:tr>
        <w:tblPrEx>
          <w:tblCellMar>
            <w:top w:w="0" w:type="dxa"/>
            <w:left w:w="108" w:type="dxa"/>
            <w:bottom w:w="0" w:type="dxa"/>
            <w:right w:w="108" w:type="dxa"/>
          </w:tblCellMar>
        </w:tblPrEx>
        <w:trPr>
          <w:trHeight w:val="23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sz w:val="24"/>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Times New Roman" w:eastAsia="仿宋_GB2312" w:cs="Times New Roman"/>
                <w:sz w:val="24"/>
              </w:rPr>
            </w:pP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textAlignment w:val="center"/>
            </w:pPr>
            <w:r>
              <w:rPr>
                <w:rFonts w:hint="eastAsia" w:ascii="仿宋_GB2312" w:hAnsi="Times New Roman" w:eastAsia="仿宋_GB2312" w:cs="Times New Roman"/>
                <w:kern w:val="0"/>
                <w:sz w:val="24"/>
                <w:lang w:bidi="ar"/>
              </w:rPr>
              <w:t>与危险化学品仓库毗连的区域。</w:t>
            </w:r>
          </w:p>
        </w:tc>
        <w:tc>
          <w:tcPr>
            <w:tcW w:w="6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Times New Roman" w:eastAsia="仿宋_GB2312" w:cs="Times New Roman"/>
                <w:sz w:val="24"/>
              </w:rPr>
            </w:pPr>
          </w:p>
        </w:tc>
      </w:tr>
      <w:tr>
        <w:tblPrEx>
          <w:tblCellMar>
            <w:top w:w="0" w:type="dxa"/>
            <w:left w:w="108" w:type="dxa"/>
            <w:bottom w:w="0" w:type="dxa"/>
            <w:right w:w="108" w:type="dxa"/>
          </w:tblCellMar>
        </w:tblPrEx>
        <w:trPr>
          <w:trHeight w:val="477"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开办旅行社及相关服务业</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非营业用房或租赁期少于1年的营业用房</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《旅行社条例实施细则》第六条。</w:t>
            </w:r>
          </w:p>
        </w:tc>
      </w:tr>
      <w:tr>
        <w:tblPrEx>
          <w:tblCellMar>
            <w:top w:w="0" w:type="dxa"/>
            <w:left w:w="108" w:type="dxa"/>
            <w:bottom w:w="0" w:type="dxa"/>
            <w:right w:w="108" w:type="dxa"/>
          </w:tblCellMar>
        </w:tblPrEx>
        <w:trPr>
          <w:trHeight w:val="1317"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6</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开设工业固体废物集中贮存、处置场所及生活垃圾填埋场所</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国务院和国务院有关主管部门及省、自治区、直辖市人民政府划定的自然保护区、风景名胜区、饮用水水源保护区、基本农田保护区和其他需要特别保护的区域内，禁止建设工业固体废物集中贮存、处置的设施、场所和生活垃圾填埋场。</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《固体废物污染环境防治法》第二十二条。</w:t>
            </w:r>
          </w:p>
        </w:tc>
      </w:tr>
      <w:tr>
        <w:tblPrEx>
          <w:tblCellMar>
            <w:top w:w="0" w:type="dxa"/>
            <w:left w:w="108" w:type="dxa"/>
            <w:bottom w:w="0" w:type="dxa"/>
            <w:right w:w="108" w:type="dxa"/>
          </w:tblCellMar>
        </w:tblPrEx>
        <w:trPr>
          <w:trHeight w:val="393" w:hRule="atLeast"/>
        </w:trPr>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7</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开办畜禽养殖</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1.饮用水水源保护区，风景名胜区；</w:t>
            </w:r>
          </w:p>
        </w:tc>
        <w:tc>
          <w:tcPr>
            <w:tcW w:w="6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宋体" w:eastAsia="仿宋_GB2312" w:cs="宋体"/>
                <w:kern w:val="0"/>
                <w:sz w:val="24"/>
              </w:rPr>
              <w:t>《城市市容和环境卫生管理条例》第三十三条、《畜禽规模养殖污染防治条例》第十一条。</w:t>
            </w:r>
          </w:p>
        </w:tc>
      </w:tr>
      <w:tr>
        <w:tblPrEx>
          <w:tblCellMar>
            <w:top w:w="0" w:type="dxa"/>
            <w:left w:w="108" w:type="dxa"/>
            <w:bottom w:w="0" w:type="dxa"/>
            <w:right w:w="108" w:type="dxa"/>
          </w:tblCellMar>
        </w:tblPrEx>
        <w:trPr>
          <w:trHeight w:val="271"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sz w:val="24"/>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Times New Roman" w:eastAsia="仿宋_GB2312" w:cs="Times New Roman"/>
                <w:sz w:val="24"/>
              </w:rPr>
            </w:pP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2.自然保护区的核心区和缓冲区；</w:t>
            </w:r>
          </w:p>
        </w:tc>
        <w:tc>
          <w:tcPr>
            <w:tcW w:w="6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Times New Roman" w:eastAsia="仿宋_GB2312" w:cs="Times New Roman"/>
                <w:sz w:val="24"/>
              </w:rPr>
            </w:pPr>
          </w:p>
        </w:tc>
      </w:tr>
      <w:tr>
        <w:tblPrEx>
          <w:tblCellMar>
            <w:top w:w="0" w:type="dxa"/>
            <w:left w:w="108" w:type="dxa"/>
            <w:bottom w:w="0" w:type="dxa"/>
            <w:right w:w="108" w:type="dxa"/>
          </w:tblCellMar>
        </w:tblPrEx>
        <w:trPr>
          <w:trHeight w:val="47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sz w:val="24"/>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Times New Roman" w:eastAsia="仿宋_GB2312" w:cs="Times New Roman"/>
                <w:sz w:val="24"/>
              </w:rPr>
            </w:pP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3.城镇居民区、文化教育科学研究区等人口集中区域；</w:t>
            </w:r>
          </w:p>
        </w:tc>
        <w:tc>
          <w:tcPr>
            <w:tcW w:w="6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Times New Roman" w:eastAsia="仿宋_GB2312" w:cs="Times New Roman"/>
                <w:sz w:val="24"/>
              </w:rPr>
            </w:pPr>
          </w:p>
        </w:tc>
      </w:tr>
      <w:tr>
        <w:tblPrEx>
          <w:tblCellMar>
            <w:top w:w="0" w:type="dxa"/>
            <w:left w:w="108" w:type="dxa"/>
            <w:bottom w:w="0" w:type="dxa"/>
            <w:right w:w="108" w:type="dxa"/>
          </w:tblCellMar>
        </w:tblPrEx>
        <w:trPr>
          <w:trHeight w:val="314"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sz w:val="24"/>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Times New Roman" w:eastAsia="仿宋_GB2312" w:cs="Times New Roman"/>
                <w:sz w:val="24"/>
              </w:rPr>
            </w:pP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4.法律、法规规定的其他禁止养殖区域。</w:t>
            </w:r>
          </w:p>
        </w:tc>
        <w:tc>
          <w:tcPr>
            <w:tcW w:w="6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Times New Roman" w:eastAsia="仿宋_GB2312" w:cs="Times New Roman"/>
                <w:sz w:val="24"/>
              </w:rPr>
            </w:pPr>
          </w:p>
        </w:tc>
      </w:tr>
      <w:tr>
        <w:tblPrEx>
          <w:tblCellMar>
            <w:top w:w="0" w:type="dxa"/>
            <w:left w:w="108" w:type="dxa"/>
            <w:bottom w:w="0" w:type="dxa"/>
            <w:right w:w="108" w:type="dxa"/>
          </w:tblCellMar>
        </w:tblPrEx>
        <w:trPr>
          <w:trHeight w:val="1411"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8</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 xml:space="preserve">私人会所 </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历史建筑、公园等公共资源中（指改变历史建筑、公园等公共资源属性设立的高档餐饮、休闲、健身、美容、娱乐、住宿、接待等场所，包括实行会员制的场所、只对少数人开放的场所、违规出租</w:t>
            </w:r>
            <w:r>
              <w:rPr>
                <w:rFonts w:hint="eastAsia" w:ascii="仿宋_GB2312" w:hAnsi="Times New Roman" w:eastAsia="仿宋_GB2312" w:cs="Times New Roman"/>
                <w:kern w:val="0"/>
                <w:sz w:val="24"/>
                <w:lang w:eastAsia="zh-CN" w:bidi="ar"/>
              </w:rPr>
              <w:t>市场</w:t>
            </w:r>
            <w:r>
              <w:rPr>
                <w:rFonts w:hint="eastAsia" w:ascii="仿宋_GB2312" w:hAnsi="Times New Roman" w:eastAsia="仿宋_GB2312" w:cs="Times New Roman"/>
                <w:kern w:val="0"/>
                <w:sz w:val="24"/>
                <w:lang w:bidi="ar"/>
              </w:rPr>
              <w:t>的场所）。</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《中共中央办公厅、国务院办公厅关于严禁在历史建筑、公园等公共资源中设立私人会所的暂行规定》第三条。</w:t>
            </w:r>
          </w:p>
        </w:tc>
      </w:tr>
      <w:tr>
        <w:tblPrEx>
          <w:tblCellMar>
            <w:top w:w="0" w:type="dxa"/>
            <w:left w:w="108" w:type="dxa"/>
            <w:bottom w:w="0" w:type="dxa"/>
            <w:right w:w="108" w:type="dxa"/>
          </w:tblCellMar>
        </w:tblPrEx>
        <w:trPr>
          <w:trHeight w:val="683" w:hRule="atLeast"/>
        </w:trPr>
        <w:tc>
          <w:tcPr>
            <w:tcW w:w="1889"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sz w:val="24"/>
              </w:rPr>
            </w:pPr>
            <w:r>
              <w:rPr>
                <w:rFonts w:ascii="仿宋_GB2312" w:hAnsi="Times New Roman" w:eastAsia="仿宋_GB2312" w:cs="Times New Roman"/>
                <w:kern w:val="0"/>
                <w:sz w:val="24"/>
                <w:lang w:bidi="ar"/>
              </w:rPr>
              <w:t>9</w:t>
            </w:r>
          </w:p>
        </w:tc>
        <w:tc>
          <w:tcPr>
            <w:tcW w:w="2551"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开设餐饮企业</w:t>
            </w:r>
          </w:p>
        </w:tc>
        <w:tc>
          <w:tcPr>
            <w:tcW w:w="53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1.居民住宅楼、未配套设立专用烟道的商住综合楼以及商住综合楼内与居住层相邻的商业楼层内；</w:t>
            </w:r>
          </w:p>
        </w:tc>
        <w:tc>
          <w:tcPr>
            <w:tcW w:w="6804"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Fonts w:hint="eastAsia" w:ascii="仿宋_GB2312" w:hAnsi="Times New Roman" w:eastAsia="仿宋_GB2312" w:cs="Times New Roman"/>
                <w:kern w:val="0"/>
                <w:sz w:val="24"/>
                <w:lang w:bidi="ar"/>
              </w:rPr>
            </w:pPr>
            <w:r>
              <w:rPr>
                <w:rFonts w:hint="eastAsia" w:ascii="仿宋_GB2312" w:hAnsi="Times New Roman" w:eastAsia="仿宋_GB2312" w:cs="Times New Roman"/>
                <w:kern w:val="0"/>
                <w:sz w:val="24"/>
                <w:lang w:bidi="ar"/>
              </w:rPr>
              <w:t>《中华人民共和国大气污染防治法》第八十一条。</w:t>
            </w:r>
          </w:p>
          <w:p>
            <w:pPr>
              <w:widowControl/>
              <w:textAlignment w:val="center"/>
              <w:rPr>
                <w:rFonts w:ascii="仿宋_GB2312" w:hAnsi="Times New Roman" w:eastAsia="仿宋_GB2312" w:cs="Times New Roman"/>
                <w:sz w:val="24"/>
              </w:rPr>
            </w:pPr>
            <w:r>
              <w:rPr>
                <w:rFonts w:hint="eastAsia" w:ascii="宋体" w:hAnsi="宋体" w:cs="Arial"/>
                <w:color w:val="000000"/>
                <w:sz w:val="24"/>
                <w:szCs w:val="24"/>
                <w:highlight w:val="red"/>
                <w:shd w:val="clear" w:color="auto" w:fill="FFFFFF"/>
              </w:rPr>
              <w:t>《泰安市大气污染防治条例》（</w:t>
            </w:r>
            <w:r>
              <w:rPr>
                <w:rFonts w:ascii="宋体" w:hAnsi="宋体" w:cs="Arial"/>
                <w:color w:val="000000"/>
                <w:sz w:val="24"/>
                <w:szCs w:val="24"/>
                <w:highlight w:val="red"/>
                <w:shd w:val="clear" w:color="auto" w:fill="FFFFFF"/>
              </w:rPr>
              <w:t>第</w:t>
            </w:r>
            <w:r>
              <w:rPr>
                <w:rFonts w:hint="eastAsia" w:ascii="宋体" w:hAnsi="宋体" w:cs="Arial"/>
                <w:color w:val="000000"/>
                <w:sz w:val="24"/>
                <w:szCs w:val="24"/>
                <w:highlight w:val="red"/>
                <w:shd w:val="clear" w:color="auto" w:fill="FFFFFF"/>
              </w:rPr>
              <w:t>四</w:t>
            </w:r>
            <w:r>
              <w:rPr>
                <w:rFonts w:ascii="宋体" w:hAnsi="宋体" w:cs="Arial"/>
                <w:color w:val="000000"/>
                <w:sz w:val="24"/>
                <w:szCs w:val="24"/>
                <w:highlight w:val="red"/>
                <w:shd w:val="clear" w:color="auto" w:fill="FFFFFF"/>
              </w:rPr>
              <w:t>十</w:t>
            </w:r>
            <w:r>
              <w:rPr>
                <w:rFonts w:hint="eastAsia" w:ascii="宋体" w:hAnsi="宋体" w:cs="Arial"/>
                <w:color w:val="000000"/>
                <w:sz w:val="24"/>
                <w:szCs w:val="24"/>
                <w:highlight w:val="red"/>
                <w:shd w:val="clear" w:color="auto" w:fill="FFFFFF"/>
              </w:rPr>
              <w:t>三</w:t>
            </w:r>
            <w:r>
              <w:rPr>
                <w:rFonts w:ascii="宋体" w:hAnsi="宋体" w:cs="Arial"/>
                <w:color w:val="000000"/>
                <w:sz w:val="24"/>
                <w:szCs w:val="24"/>
                <w:highlight w:val="red"/>
                <w:shd w:val="clear" w:color="auto" w:fill="FFFFFF"/>
              </w:rPr>
              <w:t>条</w:t>
            </w:r>
            <w:r>
              <w:rPr>
                <w:rFonts w:hint="eastAsia" w:ascii="宋体" w:hAnsi="宋体" w:cs="Arial"/>
                <w:color w:val="000000"/>
                <w:sz w:val="24"/>
                <w:szCs w:val="24"/>
                <w:highlight w:val="red"/>
                <w:shd w:val="clear" w:color="auto" w:fill="FFFFFF"/>
              </w:rPr>
              <w:t>、第四十四条）</w:t>
            </w:r>
          </w:p>
        </w:tc>
      </w:tr>
      <w:tr>
        <w:tblPrEx>
          <w:tblCellMar>
            <w:top w:w="0" w:type="dxa"/>
            <w:left w:w="108" w:type="dxa"/>
            <w:bottom w:w="0" w:type="dxa"/>
            <w:right w:w="108" w:type="dxa"/>
          </w:tblCellMar>
        </w:tblPrEx>
        <w:trPr>
          <w:trHeight w:val="565" w:hRule="atLeast"/>
        </w:trPr>
        <w:tc>
          <w:tcPr>
            <w:tcW w:w="1889"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kern w:val="0"/>
                <w:sz w:val="24"/>
                <w:lang w:bidi="ar"/>
              </w:rPr>
            </w:pPr>
          </w:p>
        </w:tc>
        <w:tc>
          <w:tcPr>
            <w:tcW w:w="2551"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kern w:val="0"/>
                <w:sz w:val="24"/>
                <w:lang w:bidi="ar"/>
              </w:rPr>
            </w:pPr>
          </w:p>
        </w:tc>
        <w:tc>
          <w:tcPr>
            <w:tcW w:w="538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kern w:val="0"/>
                <w:sz w:val="24"/>
                <w:lang w:bidi="ar"/>
              </w:rPr>
            </w:pPr>
            <w:r>
              <w:rPr>
                <w:rFonts w:hint="eastAsia" w:ascii="仿宋_GB2312" w:hAnsi="Times New Roman" w:eastAsia="仿宋_GB2312" w:cs="Times New Roman"/>
                <w:kern w:val="0"/>
                <w:sz w:val="24"/>
                <w:lang w:bidi="ar"/>
              </w:rPr>
              <w:t>2.当地人民政府禁止的区域内露天烧烤食品或者为露天烧烤食品提供场地。</w:t>
            </w:r>
          </w:p>
        </w:tc>
        <w:tc>
          <w:tcPr>
            <w:tcW w:w="6804"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kern w:val="0"/>
                <w:sz w:val="24"/>
                <w:lang w:bidi="ar"/>
              </w:rPr>
            </w:pPr>
          </w:p>
        </w:tc>
      </w:tr>
      <w:tr>
        <w:tblPrEx>
          <w:tblCellMar>
            <w:top w:w="0" w:type="dxa"/>
            <w:left w:w="108" w:type="dxa"/>
            <w:bottom w:w="0" w:type="dxa"/>
            <w:right w:w="108" w:type="dxa"/>
          </w:tblCellMar>
        </w:tblPrEx>
        <w:trPr>
          <w:trHeight w:val="845" w:hRule="atLeast"/>
        </w:trPr>
        <w:tc>
          <w:tcPr>
            <w:tcW w:w="188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1</w:t>
            </w:r>
            <w:r>
              <w:rPr>
                <w:rFonts w:ascii="仿宋_GB2312" w:hAnsi="Times New Roman" w:eastAsia="仿宋_GB2312" w:cs="Times New Roman"/>
                <w:kern w:val="0"/>
                <w:sz w:val="24"/>
                <w:lang w:bidi="ar"/>
              </w:rPr>
              <w:t>0</w:t>
            </w:r>
          </w:p>
        </w:tc>
        <w:tc>
          <w:tcPr>
            <w:tcW w:w="255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医疗器械</w:t>
            </w:r>
            <w:r>
              <w:rPr>
                <w:rFonts w:hint="eastAsia" w:ascii="仿宋_GB2312" w:hAnsi="Times New Roman" w:eastAsia="仿宋_GB2312" w:cs="Times New Roman"/>
                <w:kern w:val="0"/>
                <w:sz w:val="24"/>
                <w:lang w:eastAsia="zh-CN" w:bidi="ar"/>
              </w:rPr>
              <w:t>市场</w:t>
            </w:r>
            <w:r>
              <w:rPr>
                <w:rFonts w:hint="eastAsia" w:ascii="仿宋_GB2312" w:hAnsi="Times New Roman" w:eastAsia="仿宋_GB2312" w:cs="Times New Roman"/>
                <w:kern w:val="0"/>
                <w:sz w:val="24"/>
                <w:lang w:bidi="ar"/>
              </w:rPr>
              <w:t>企业</w:t>
            </w:r>
            <w:r>
              <w:rPr>
                <w:rFonts w:hint="eastAsia" w:ascii="仿宋_GB2312" w:hAnsi="Times New Roman" w:eastAsia="仿宋_GB2312" w:cs="Times New Roman"/>
                <w:kern w:val="0"/>
                <w:sz w:val="24"/>
                <w:lang w:eastAsia="zh-CN" w:bidi="ar"/>
              </w:rPr>
              <w:t>市场</w:t>
            </w:r>
            <w:r>
              <w:rPr>
                <w:rFonts w:hint="eastAsia" w:ascii="仿宋_GB2312" w:hAnsi="Times New Roman" w:eastAsia="仿宋_GB2312" w:cs="Times New Roman"/>
                <w:kern w:val="0"/>
                <w:sz w:val="24"/>
                <w:lang w:bidi="ar"/>
              </w:rPr>
              <w:t>、仓储</w:t>
            </w:r>
          </w:p>
        </w:tc>
        <w:tc>
          <w:tcPr>
            <w:tcW w:w="53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sz w:val="24"/>
                <w:lang w:eastAsia="zh-CN"/>
              </w:rPr>
              <w:t>市场</w:t>
            </w:r>
            <w:r>
              <w:rPr>
                <w:rFonts w:hint="eastAsia" w:ascii="仿宋_GB2312" w:hAnsi="Times New Roman" w:eastAsia="仿宋_GB2312" w:cs="Times New Roman"/>
                <w:sz w:val="24"/>
              </w:rPr>
              <w:t>场所和仓储场所均不得使用居民住宅用房、军事管理区（不含可租赁区）以及其他不适合</w:t>
            </w:r>
            <w:r>
              <w:rPr>
                <w:rFonts w:hint="eastAsia" w:ascii="仿宋_GB2312" w:hAnsi="Times New Roman" w:eastAsia="仿宋_GB2312" w:cs="Times New Roman"/>
                <w:sz w:val="24"/>
                <w:lang w:eastAsia="zh-CN"/>
              </w:rPr>
              <w:t>市场</w:t>
            </w:r>
            <w:r>
              <w:rPr>
                <w:rFonts w:hint="eastAsia" w:ascii="仿宋_GB2312" w:hAnsi="Times New Roman" w:eastAsia="仿宋_GB2312" w:cs="Times New Roman"/>
                <w:sz w:val="24"/>
              </w:rPr>
              <w:t>的场所。</w:t>
            </w:r>
          </w:p>
        </w:tc>
        <w:tc>
          <w:tcPr>
            <w:tcW w:w="680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《医疗器械</w:t>
            </w:r>
            <w:r>
              <w:rPr>
                <w:rFonts w:hint="eastAsia" w:ascii="仿宋_GB2312" w:hAnsi="Times New Roman" w:eastAsia="仿宋_GB2312" w:cs="Times New Roman"/>
                <w:kern w:val="0"/>
                <w:sz w:val="24"/>
                <w:lang w:eastAsia="zh-CN" w:bidi="ar"/>
              </w:rPr>
              <w:t>市场</w:t>
            </w:r>
            <w:r>
              <w:rPr>
                <w:rFonts w:hint="eastAsia" w:ascii="仿宋_GB2312" w:hAnsi="Times New Roman" w:eastAsia="仿宋_GB2312" w:cs="Times New Roman"/>
                <w:kern w:val="0"/>
                <w:sz w:val="24"/>
                <w:lang w:bidi="ar"/>
              </w:rPr>
              <w:t>质量管理规范》第十六条、《山东省医疗器械</w:t>
            </w:r>
            <w:r>
              <w:rPr>
                <w:rFonts w:hint="eastAsia" w:ascii="仿宋_GB2312" w:hAnsi="Times New Roman" w:eastAsia="仿宋_GB2312" w:cs="Times New Roman"/>
                <w:kern w:val="0"/>
                <w:sz w:val="24"/>
                <w:lang w:eastAsia="zh-CN" w:bidi="ar"/>
              </w:rPr>
              <w:t>市场</w:t>
            </w:r>
            <w:r>
              <w:rPr>
                <w:rFonts w:hint="eastAsia" w:ascii="仿宋_GB2312" w:hAnsi="Times New Roman" w:eastAsia="仿宋_GB2312" w:cs="Times New Roman"/>
                <w:kern w:val="0"/>
                <w:sz w:val="24"/>
                <w:lang w:bidi="ar"/>
              </w:rPr>
              <w:t>企业许可证管理办法实施细则》第五条。</w:t>
            </w:r>
          </w:p>
        </w:tc>
      </w:tr>
      <w:tr>
        <w:tblPrEx>
          <w:tblCellMar>
            <w:top w:w="0" w:type="dxa"/>
            <w:left w:w="108" w:type="dxa"/>
            <w:bottom w:w="0" w:type="dxa"/>
            <w:right w:w="108" w:type="dxa"/>
          </w:tblCellMar>
        </w:tblPrEx>
        <w:trPr>
          <w:trHeight w:val="1168" w:hRule="atLeast"/>
        </w:trPr>
        <w:tc>
          <w:tcPr>
            <w:tcW w:w="1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1</w:t>
            </w:r>
            <w:r>
              <w:rPr>
                <w:rFonts w:ascii="仿宋_GB2312" w:hAnsi="Times New Roman" w:eastAsia="仿宋_GB2312" w:cs="Times New Roman"/>
                <w:kern w:val="0"/>
                <w:sz w:val="24"/>
                <w:lang w:bidi="ar"/>
              </w:rPr>
              <w:t>1</w:t>
            </w:r>
          </w:p>
        </w:tc>
        <w:tc>
          <w:tcPr>
            <w:tcW w:w="25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烟花爆竹生产、批发、零售</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Arial" w:eastAsia="仿宋_GB2312" w:cs="Arial"/>
                <w:sz w:val="24"/>
                <w:shd w:val="clear" w:color="auto" w:fill="FFFFFF"/>
              </w:rPr>
              <w:t>禁止在城市市区布设烟花爆竹批发场所;城市市区的烟花爆竹零售网点，应当按照严格控制的原则合理布设。</w:t>
            </w:r>
          </w:p>
        </w:tc>
        <w:tc>
          <w:tcPr>
            <w:tcW w:w="68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《烟花爆竹安全管理条例》第十六条、第十七条、《烟花爆竹</w:t>
            </w:r>
            <w:r>
              <w:rPr>
                <w:rFonts w:hint="eastAsia" w:ascii="仿宋_GB2312" w:hAnsi="宋体" w:eastAsia="仿宋_GB2312" w:cs="宋体"/>
                <w:kern w:val="0"/>
                <w:sz w:val="24"/>
                <w:lang w:eastAsia="zh-CN"/>
              </w:rPr>
              <w:t>市场</w:t>
            </w:r>
            <w:r>
              <w:rPr>
                <w:rFonts w:hint="eastAsia" w:ascii="仿宋_GB2312" w:hAnsi="宋体" w:eastAsia="仿宋_GB2312" w:cs="宋体"/>
                <w:kern w:val="0"/>
                <w:sz w:val="24"/>
              </w:rPr>
              <w:t>许可实施办法》第四条、第十六条。</w:t>
            </w:r>
          </w:p>
        </w:tc>
      </w:tr>
      <w:tr>
        <w:tblPrEx>
          <w:tblCellMar>
            <w:top w:w="0" w:type="dxa"/>
            <w:left w:w="108" w:type="dxa"/>
            <w:bottom w:w="0" w:type="dxa"/>
            <w:right w:w="108" w:type="dxa"/>
          </w:tblCellMar>
        </w:tblPrEx>
        <w:trPr>
          <w:trHeight w:val="425" w:hRule="atLeast"/>
        </w:trPr>
        <w:tc>
          <w:tcPr>
            <w:tcW w:w="1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Times New Roman" w:eastAsia="仿宋_GB2312" w:cs="Times New Roman"/>
                <w:kern w:val="0"/>
                <w:sz w:val="24"/>
                <w:lang w:bidi="ar"/>
              </w:rPr>
            </w:pPr>
          </w:p>
        </w:tc>
        <w:tc>
          <w:tcPr>
            <w:tcW w:w="2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Times New Roman" w:eastAsia="仿宋_GB2312" w:cs="Times New Roman"/>
                <w:kern w:val="0"/>
                <w:sz w:val="24"/>
                <w:lang w:bidi="ar"/>
              </w:rPr>
            </w:pP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r>
              <w:rPr>
                <w:rFonts w:hint="eastAsia" w:ascii="仿宋_GB2312" w:hAnsi="宋体" w:eastAsia="仿宋_GB2312" w:cs="宋体"/>
                <w:kern w:val="0"/>
                <w:sz w:val="24"/>
              </w:rPr>
              <w:t xml:space="preserve">2. </w:t>
            </w:r>
            <w:r>
              <w:rPr>
                <w:rFonts w:hint="eastAsia" w:ascii="仿宋_GB2312" w:hAnsi="Arial" w:eastAsia="仿宋_GB2312" w:cs="Arial"/>
                <w:sz w:val="24"/>
                <w:shd w:val="clear" w:color="auto" w:fill="FFFFFF"/>
              </w:rPr>
              <w:t>批发企业不得在城市建成区内设立烟花爆竹储存仓库,不得在批发（展示）场所摆放有药样品；严格控制城市建成区内烟花爆竹零售点数量,且烟花爆竹零售点不得与居民居住场所设置在同一建筑物内。</w:t>
            </w:r>
            <w:r>
              <w:rPr>
                <w:rFonts w:hint="eastAsia" w:ascii="仿宋_GB2312" w:hAnsi="Arial" w:eastAsia="仿宋_GB2312" w:cs="Arial"/>
                <w:sz w:val="24"/>
                <w:shd w:val="clear" w:color="auto" w:fill="FFFFFF"/>
                <w:lang w:eastAsia="zh-CN"/>
              </w:rPr>
              <w:t>市场</w:t>
            </w:r>
            <w:r>
              <w:rPr>
                <w:rFonts w:hint="eastAsia" w:ascii="仿宋_GB2312" w:hAnsi="Arial" w:eastAsia="仿宋_GB2312" w:cs="Arial"/>
                <w:sz w:val="24"/>
                <w:shd w:val="clear" w:color="auto" w:fill="FFFFFF"/>
              </w:rPr>
              <w:t>场所与周边建筑、设施保持必要的安全距离;</w:t>
            </w:r>
          </w:p>
        </w:tc>
        <w:tc>
          <w:tcPr>
            <w:tcW w:w="68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1345" w:hRule="atLeast"/>
        </w:trPr>
        <w:tc>
          <w:tcPr>
            <w:tcW w:w="1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Times New Roman" w:eastAsia="仿宋_GB2312" w:cs="Times New Roman"/>
                <w:kern w:val="0"/>
                <w:sz w:val="24"/>
                <w:lang w:bidi="ar"/>
              </w:rPr>
            </w:pPr>
          </w:p>
        </w:tc>
        <w:tc>
          <w:tcPr>
            <w:tcW w:w="25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Times New Roman" w:eastAsia="仿宋_GB2312" w:cs="Times New Roman"/>
                <w:kern w:val="0"/>
                <w:sz w:val="24"/>
                <w:lang w:bidi="ar"/>
              </w:rPr>
            </w:pP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kern w:val="0"/>
                <w:sz w:val="24"/>
              </w:rPr>
            </w:pPr>
            <w:r>
              <w:rPr>
                <w:rFonts w:hint="eastAsia" w:ascii="仿宋_GB2312" w:eastAsia="仿宋_GB2312"/>
                <w:sz w:val="24"/>
              </w:rPr>
              <w:t>3.零售场所的面积不小于10平方米,其周边50米范围内没有其他烟花爆竹零售点,并与学校、幼儿园、医院、集贸市场等人员密集场所和加油站等易燃易爆物品生产、储存设施等重点建筑物保持100米以上的安全距离。</w:t>
            </w:r>
          </w:p>
        </w:tc>
        <w:tc>
          <w:tcPr>
            <w:tcW w:w="68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trHeight w:val="614" w:hRule="atLeast"/>
        </w:trPr>
        <w:tc>
          <w:tcPr>
            <w:tcW w:w="1889" w:type="dxa"/>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kern w:val="0"/>
                <w:sz w:val="24"/>
                <w:lang w:bidi="ar"/>
              </w:rPr>
            </w:pPr>
            <w:r>
              <w:rPr>
                <w:rFonts w:hint="eastAsia" w:ascii="仿宋_GB2312" w:hAnsi="Times New Roman" w:eastAsia="仿宋_GB2312" w:cs="Times New Roman"/>
                <w:kern w:val="0"/>
                <w:sz w:val="24"/>
                <w:lang w:bidi="ar"/>
              </w:rPr>
              <w:t>1</w:t>
            </w:r>
            <w:r>
              <w:rPr>
                <w:rFonts w:ascii="仿宋_GB2312" w:hAnsi="Times New Roman" w:eastAsia="仿宋_GB2312" w:cs="Times New Roman"/>
                <w:kern w:val="0"/>
                <w:sz w:val="24"/>
                <w:lang w:bidi="ar"/>
              </w:rPr>
              <w:t>2</w:t>
            </w:r>
          </w:p>
        </w:tc>
        <w:tc>
          <w:tcPr>
            <w:tcW w:w="2551" w:type="dxa"/>
            <w:tcBorders>
              <w:top w:val="single" w:color="auto" w:sz="4" w:space="0"/>
              <w:left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kern w:val="0"/>
                <w:sz w:val="24"/>
                <w:lang w:bidi="ar"/>
              </w:rPr>
            </w:pPr>
            <w:r>
              <w:rPr>
                <w:rFonts w:hint="eastAsia" w:ascii="仿宋_GB2312" w:hAnsi="Times New Roman" w:eastAsia="仿宋_GB2312" w:cs="Times New Roman"/>
                <w:kern w:val="0"/>
                <w:sz w:val="24"/>
                <w:highlight w:val="yellow"/>
                <w:lang w:bidi="ar"/>
              </w:rPr>
              <w:t>教育培训行业</w:t>
            </w:r>
          </w:p>
        </w:tc>
        <w:tc>
          <w:tcPr>
            <w:tcW w:w="5387"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textAlignment w:val="center"/>
              <w:rPr>
                <w:rFonts w:ascii="仿宋_GB2312" w:eastAsia="仿宋_GB2312"/>
                <w:sz w:val="24"/>
              </w:rPr>
            </w:pPr>
            <w:r>
              <w:rPr>
                <w:rFonts w:hint="eastAsia" w:ascii="仿宋_GB2312" w:hAnsi="sinmsun" w:eastAsia="仿宋_GB2312"/>
                <w:sz w:val="24"/>
                <w:shd w:val="clear" w:color="auto" w:fill="FFFFFF"/>
              </w:rPr>
              <w:t>不得使用居民住宅、租赁或借用中小学校校舍、场地作为办学场所。</w:t>
            </w:r>
          </w:p>
        </w:tc>
        <w:tc>
          <w:tcPr>
            <w:tcW w:w="6804" w:type="dxa"/>
            <w:tcBorders>
              <w:top w:val="single" w:color="auto" w:sz="4" w:space="0"/>
              <w:left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kern w:val="0"/>
                <w:sz w:val="24"/>
                <w:lang w:bidi="ar"/>
              </w:rPr>
            </w:pPr>
            <w:r>
              <w:rPr>
                <w:rFonts w:hint="eastAsia" w:ascii="仿宋_GB2312" w:hAnsi="Times New Roman" w:eastAsia="仿宋_GB2312" w:cs="Times New Roman"/>
                <w:kern w:val="0"/>
                <w:sz w:val="24"/>
                <w:lang w:bidi="ar"/>
              </w:rPr>
              <w:t>《国务院办公厅关于规范校外培训机构发展的意见》(国办发〔2018〕8号)、《山东省人民政府办公厅关于规范校外培训机构发展的实施意见》（鲁政办字〔2019〕49号）</w:t>
            </w:r>
          </w:p>
        </w:tc>
      </w:tr>
      <w:tr>
        <w:tblPrEx>
          <w:tblCellMar>
            <w:top w:w="0" w:type="dxa"/>
            <w:left w:w="108" w:type="dxa"/>
            <w:bottom w:w="0" w:type="dxa"/>
            <w:right w:w="108" w:type="dxa"/>
          </w:tblCellMar>
        </w:tblPrEx>
        <w:trPr>
          <w:trHeight w:val="373"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kern w:val="0"/>
                <w:sz w:val="24"/>
                <w:lang w:bidi="ar"/>
              </w:rPr>
            </w:pPr>
            <w:r>
              <w:rPr>
                <w:rFonts w:hint="eastAsia" w:ascii="仿宋_GB2312" w:hAnsi="Times New Roman" w:eastAsia="仿宋_GB2312" w:cs="Times New Roman"/>
                <w:kern w:val="0"/>
                <w:sz w:val="24"/>
                <w:lang w:bidi="ar"/>
              </w:rPr>
              <w:t>1</w:t>
            </w:r>
            <w:r>
              <w:rPr>
                <w:rFonts w:ascii="仿宋_GB2312" w:hAnsi="Times New Roman" w:eastAsia="仿宋_GB2312" w:cs="Times New Roman"/>
                <w:kern w:val="0"/>
                <w:sz w:val="24"/>
                <w:lang w:bidi="ar"/>
              </w:rPr>
              <w:t>3</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sz w:val="24"/>
                <w:szCs w:val="24"/>
              </w:rPr>
            </w:pPr>
            <w:r>
              <w:rPr>
                <w:rFonts w:hint="eastAsia" w:ascii="仿宋_GB2312" w:hAnsi="仿宋_GB2312" w:eastAsia="仿宋_GB2312" w:cs="仿宋_GB2312"/>
                <w:b w:val="0"/>
                <w:bCs w:val="0"/>
                <w:sz w:val="24"/>
                <w:szCs w:val="24"/>
              </w:rPr>
              <w:t>烟草制品零售、</w:t>
            </w:r>
            <w:r>
              <w:rPr>
                <w:rFonts w:hint="eastAsia" w:ascii="仿宋_GB2312" w:hAnsi="仿宋_GB2312" w:eastAsia="仿宋_GB2312" w:cs="仿宋_GB2312"/>
                <w:b w:val="0"/>
                <w:bCs w:val="0"/>
                <w:color w:val="000000"/>
                <w:sz w:val="24"/>
                <w:szCs w:val="24"/>
                <w:highlight w:val="yellow"/>
              </w:rPr>
              <w:t>开办酒、彩票销售网点</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宋体"/>
                <w:kern w:val="0"/>
                <w:sz w:val="24"/>
              </w:rPr>
            </w:pPr>
            <w:r>
              <w:rPr>
                <w:rFonts w:hint="eastAsia" w:ascii="仿宋_GB2312" w:hAnsi="Times New Roman" w:eastAsia="仿宋_GB2312" w:cs="Times New Roman"/>
                <w:sz w:val="24"/>
              </w:rPr>
              <w:t>中、小学校周围;</w:t>
            </w:r>
            <w:r>
              <w:rPr>
                <w:rFonts w:hint="eastAsia" w:ascii="仿宋_GB2312" w:eastAsia="仿宋_GB2312"/>
                <w:sz w:val="24"/>
              </w:rPr>
              <w:t xml:space="preserve"> </w:t>
            </w:r>
            <w:r>
              <w:rPr>
                <w:rFonts w:hint="eastAsia" w:ascii="仿宋_GB2312" w:hAnsi="Times New Roman" w:eastAsia="仿宋_GB2312" w:cs="Times New Roman"/>
                <w:sz w:val="24"/>
              </w:rPr>
              <w:t>普通中小学、特殊教育学校、中等职业学校、专门学校、幼儿园周边。</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宋体" w:cs="宋体"/>
                <w:kern w:val="0"/>
                <w:sz w:val="24"/>
              </w:rPr>
            </w:pPr>
            <w:r>
              <w:rPr>
                <w:rFonts w:hint="eastAsia" w:ascii="仿宋_GB2312" w:hAnsi="仿宋_GB2312" w:eastAsia="仿宋_GB2312" w:cs="仿宋_GB2312"/>
                <w:sz w:val="24"/>
              </w:rPr>
              <w:t>《烟草专卖许可证管理办法》第二十五条、《电子烟管理办法》第十八条、</w:t>
            </w:r>
            <w:r>
              <w:rPr>
                <w:rStyle w:val="13"/>
                <w:rFonts w:hint="default" w:ascii="仿宋_GB2312" w:hAnsi="仿宋_GB2312" w:eastAsia="仿宋_GB2312" w:cs="仿宋_GB2312"/>
                <w:sz w:val="24"/>
                <w:szCs w:val="24"/>
              </w:rPr>
              <w:t>《中华人民共和国未成年人保护法》第五十九条。</w:t>
            </w:r>
          </w:p>
        </w:tc>
      </w:tr>
      <w:tr>
        <w:tblPrEx>
          <w:tblCellMar>
            <w:top w:w="0" w:type="dxa"/>
            <w:left w:w="108" w:type="dxa"/>
            <w:bottom w:w="0" w:type="dxa"/>
            <w:right w:w="108" w:type="dxa"/>
          </w:tblCellMar>
        </w:tblPrEx>
        <w:trPr>
          <w:trHeight w:val="1517"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Times New Roman" w:eastAsia="仿宋_GB2312" w:cs="Times New Roman"/>
                <w:kern w:val="0"/>
                <w:sz w:val="24"/>
                <w:lang w:bidi="ar"/>
              </w:rPr>
            </w:pPr>
            <w:r>
              <w:rPr>
                <w:rFonts w:hint="eastAsia" w:ascii="仿宋_GB2312" w:hAnsi="Times New Roman" w:eastAsia="仿宋_GB2312" w:cs="Times New Roman"/>
                <w:kern w:val="0"/>
                <w:sz w:val="24"/>
                <w:lang w:bidi="ar"/>
              </w:rPr>
              <w:t>1</w:t>
            </w:r>
            <w:r>
              <w:rPr>
                <w:rFonts w:ascii="仿宋_GB2312" w:hAnsi="Times New Roman" w:eastAsia="仿宋_GB2312" w:cs="Times New Roman"/>
                <w:kern w:val="0"/>
                <w:sz w:val="24"/>
                <w:lang w:bidi="ar"/>
              </w:rPr>
              <w:t>4</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Times New Roman" w:eastAsia="仿宋_GB2312" w:cs="Times New Roman"/>
                <w:kern w:val="0"/>
                <w:sz w:val="24"/>
                <w:lang w:bidi="ar"/>
              </w:rPr>
            </w:pPr>
            <w:r>
              <w:rPr>
                <w:rFonts w:hint="eastAsia" w:ascii="仿宋_GB2312" w:hAnsi="Times New Roman" w:eastAsia="仿宋_GB2312" w:cs="Times New Roman"/>
                <w:kern w:val="0"/>
                <w:sz w:val="24"/>
                <w:lang w:bidi="ar"/>
              </w:rPr>
              <w:t>采矿业</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港口、机场、国防工程设施圈定地区以内;重要工业区、大型水利工程设施、城镇市政工程设施附近一定距离以内;铁路、重要公路两侧一定距离以内;重要河流、堤坝两侧一定距离以内;国家划定的自然保护区、重要风景区，国家重点保护的不能移动的历史文物和名胜古迹所在地;国家规定不得开采矿产资源的其他地区。</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《矿产资源法》第二十条。</w:t>
            </w:r>
          </w:p>
        </w:tc>
      </w:tr>
      <w:tr>
        <w:tblPrEx>
          <w:tblCellMar>
            <w:top w:w="0" w:type="dxa"/>
            <w:left w:w="108" w:type="dxa"/>
            <w:bottom w:w="0" w:type="dxa"/>
            <w:right w:w="108" w:type="dxa"/>
          </w:tblCellMar>
        </w:tblPrEx>
        <w:trPr>
          <w:trHeight w:val="611"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kern w:val="0"/>
                <w:sz w:val="24"/>
                <w:highlight w:val="red"/>
                <w:lang w:val="en-US" w:eastAsia="zh-CN" w:bidi="ar"/>
              </w:rPr>
            </w:pPr>
            <w:r>
              <w:rPr>
                <w:rFonts w:hint="eastAsia" w:ascii="仿宋_GB2312" w:hAnsi="Times New Roman" w:eastAsia="仿宋_GB2312" w:cs="Times New Roman"/>
                <w:kern w:val="0"/>
                <w:sz w:val="24"/>
                <w:highlight w:val="red"/>
                <w:lang w:val="en-US" w:eastAsia="zh-CN" w:bidi="ar"/>
              </w:rPr>
              <w:t>15</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_GB2312" w:hAnsi="Times New Roman" w:eastAsia="仿宋_GB2312" w:cs="Times New Roman"/>
                <w:kern w:val="0"/>
                <w:sz w:val="24"/>
                <w:highlight w:val="red"/>
                <w:lang w:bidi="ar"/>
              </w:rPr>
            </w:pPr>
            <w:r>
              <w:rPr>
                <w:rFonts w:hint="eastAsia" w:ascii="宋体" w:hAnsi="宋体" w:cs="Arial"/>
                <w:color w:val="000000"/>
                <w:highlight w:val="red"/>
                <w:shd w:val="clear" w:color="auto" w:fill="FFFFFF"/>
              </w:rPr>
              <w:t>动物诊疗行业</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仿宋_GB2312" w:hAnsi="宋体" w:eastAsia="仿宋_GB2312" w:cs="宋体"/>
                <w:kern w:val="0"/>
                <w:sz w:val="24"/>
                <w:highlight w:val="red"/>
              </w:rPr>
            </w:pPr>
            <w:r>
              <w:rPr>
                <w:rFonts w:hint="eastAsia" w:ascii="宋体" w:hAnsi="宋体" w:cs="Arial"/>
                <w:color w:val="000000"/>
                <w:highlight w:val="red"/>
                <w:shd w:val="clear" w:color="auto" w:fill="FFFFFF"/>
              </w:rPr>
              <w:t>动物饲养场、动物屠宰加工场所、</w:t>
            </w:r>
            <w:r>
              <w:rPr>
                <w:rFonts w:hint="eastAsia" w:ascii="宋体" w:hAnsi="宋体" w:cs="Arial"/>
                <w:color w:val="000000"/>
                <w:highlight w:val="red"/>
                <w:shd w:val="clear" w:color="auto" w:fill="FFFFFF"/>
                <w:lang w:eastAsia="zh-CN"/>
              </w:rPr>
              <w:t>市场</w:t>
            </w:r>
            <w:r>
              <w:rPr>
                <w:rFonts w:hint="eastAsia" w:ascii="宋体" w:hAnsi="宋体" w:cs="Arial"/>
                <w:color w:val="000000"/>
                <w:highlight w:val="red"/>
                <w:shd w:val="clear" w:color="auto" w:fill="FFFFFF"/>
              </w:rPr>
              <w:t>动物的集贸市场周边二百米范围内不得设置动物诊疗场所。</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hint="eastAsia" w:ascii="仿宋_GB2312" w:hAnsi="宋体" w:eastAsia="仿宋_GB2312" w:cs="宋体"/>
                <w:kern w:val="0"/>
                <w:sz w:val="24"/>
                <w:highlight w:val="red"/>
              </w:rPr>
            </w:pPr>
            <w:r>
              <w:rPr>
                <w:rFonts w:hint="eastAsia" w:ascii="宋体" w:hAnsi="宋体" w:cs="Arial"/>
                <w:color w:val="000000"/>
                <w:highlight w:val="red"/>
                <w:shd w:val="clear" w:color="auto" w:fill="FFFFFF"/>
              </w:rPr>
              <w:t>《动物诊疗机构管理办法》第六条</w:t>
            </w:r>
          </w:p>
        </w:tc>
      </w:tr>
      <w:tr>
        <w:tblPrEx>
          <w:tblCellMar>
            <w:top w:w="0" w:type="dxa"/>
            <w:left w:w="108" w:type="dxa"/>
            <w:bottom w:w="0" w:type="dxa"/>
            <w:right w:w="108" w:type="dxa"/>
          </w:tblCellMar>
        </w:tblPrEx>
        <w:trPr>
          <w:trHeight w:val="90"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16</w:t>
            </w:r>
          </w:p>
        </w:tc>
        <w:tc>
          <w:tcPr>
            <w:tcW w:w="147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《中华人民共和国土地管理法》、《中华人民共和国城乡规划法》规定的禁止改变土地用途的情形。</w:t>
            </w:r>
          </w:p>
        </w:tc>
      </w:tr>
      <w:tr>
        <w:tblPrEx>
          <w:tblCellMar>
            <w:top w:w="0" w:type="dxa"/>
            <w:left w:w="108" w:type="dxa"/>
            <w:bottom w:w="0" w:type="dxa"/>
            <w:right w:w="108" w:type="dxa"/>
          </w:tblCellMar>
        </w:tblPrEx>
        <w:trPr>
          <w:trHeight w:val="726"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rPr>
              <w:t>1</w:t>
            </w:r>
            <w:r>
              <w:rPr>
                <w:rFonts w:hint="eastAsia" w:ascii="仿宋_GB2312" w:hAnsi="Times New Roman" w:eastAsia="仿宋_GB2312" w:cs="Times New Roman"/>
                <w:sz w:val="24"/>
                <w:lang w:val="en-US" w:eastAsia="zh-CN"/>
              </w:rPr>
              <w:t>7</w:t>
            </w:r>
          </w:p>
        </w:tc>
        <w:tc>
          <w:tcPr>
            <w:tcW w:w="147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Times New Roman" w:eastAsia="仿宋_GB2312" w:cs="Times New Roman"/>
                <w:sz w:val="24"/>
              </w:rPr>
            </w:pPr>
            <w:r>
              <w:rPr>
                <w:rFonts w:hint="eastAsia" w:ascii="仿宋_GB2312" w:hAnsi="Times New Roman" w:eastAsia="仿宋_GB2312" w:cs="Times New Roman"/>
                <w:kern w:val="0"/>
                <w:sz w:val="24"/>
                <w:lang w:bidi="ar"/>
              </w:rPr>
              <w:t>其他法律、行政法规、规章以及国务院、省、市政府作出的规范性文件禁止作为市场主体住所（</w:t>
            </w:r>
            <w:r>
              <w:rPr>
                <w:rFonts w:hint="eastAsia" w:ascii="仿宋_GB2312" w:hAnsi="Times New Roman" w:eastAsia="仿宋_GB2312" w:cs="Times New Roman"/>
                <w:kern w:val="0"/>
                <w:sz w:val="24"/>
                <w:lang w:eastAsia="zh-CN" w:bidi="ar"/>
              </w:rPr>
              <w:t>市场</w:t>
            </w:r>
            <w:r>
              <w:rPr>
                <w:rFonts w:hint="eastAsia" w:ascii="仿宋_GB2312" w:hAnsi="Times New Roman" w:eastAsia="仿宋_GB2312" w:cs="Times New Roman"/>
                <w:kern w:val="0"/>
                <w:sz w:val="24"/>
                <w:lang w:bidi="ar"/>
              </w:rPr>
              <w:t>场所）登记的情形。</w:t>
            </w:r>
          </w:p>
        </w:tc>
      </w:tr>
    </w:tbl>
    <w:p>
      <w:pPr>
        <w:numPr>
          <w:ilvl w:val="0"/>
          <w:numId w:val="0"/>
        </w:numPr>
        <w:rPr>
          <w:rFonts w:hint="eastAsia"/>
        </w:rPr>
      </w:pPr>
      <w:r>
        <w:rPr>
          <w:rFonts w:hint="eastAsia"/>
        </w:rPr>
        <w:t xml:space="preserve"> </w:t>
      </w:r>
      <w:r>
        <w:t xml:space="preserve">     </w:t>
      </w:r>
      <w:r>
        <w:rPr>
          <w:rFonts w:hint="eastAsia" w:ascii="仿宋_GB2312" w:eastAsia="仿宋_GB2312"/>
          <w:b/>
          <w:bCs/>
          <w:sz w:val="30"/>
          <w:szCs w:val="30"/>
        </w:rPr>
        <w:t xml:space="preserve"> </w:t>
      </w:r>
      <w:r>
        <w:rPr>
          <w:rFonts w:hint="eastAsia" w:ascii="仿宋_GB2312" w:eastAsia="仿宋_GB2312"/>
          <w:b/>
          <w:bCs/>
          <w:sz w:val="30"/>
          <w:szCs w:val="30"/>
          <w:lang w:eastAsia="zh-CN"/>
        </w:rPr>
        <w:t>市场</w:t>
      </w:r>
      <w:r>
        <w:rPr>
          <w:rFonts w:hint="eastAsia" w:ascii="仿宋_GB2312" w:eastAsia="仿宋_GB2312"/>
          <w:b/>
          <w:bCs/>
          <w:sz w:val="30"/>
          <w:szCs w:val="30"/>
        </w:rPr>
        <w:t>主体住所（</w:t>
      </w:r>
      <w:r>
        <w:rPr>
          <w:rFonts w:hint="eastAsia" w:ascii="仿宋_GB2312" w:eastAsia="仿宋_GB2312"/>
          <w:b/>
          <w:bCs/>
          <w:sz w:val="30"/>
          <w:szCs w:val="30"/>
          <w:lang w:eastAsia="zh-CN"/>
        </w:rPr>
        <w:t>经营</w:t>
      </w:r>
      <w:r>
        <w:rPr>
          <w:rFonts w:hint="eastAsia" w:ascii="仿宋_GB2312" w:eastAsia="仿宋_GB2312"/>
          <w:b/>
          <w:bCs/>
          <w:sz w:val="30"/>
          <w:szCs w:val="30"/>
        </w:rPr>
        <w:t>场所）登记负面清单实行动态管理，</w:t>
      </w:r>
      <w:r>
        <w:rPr>
          <w:rFonts w:hint="eastAsia" w:ascii="仿宋_GB2312" w:eastAsia="仿宋_GB2312"/>
          <w:b/>
          <w:bCs/>
          <w:sz w:val="30"/>
          <w:szCs w:val="30"/>
          <w:lang w:eastAsia="zh-CN"/>
        </w:rPr>
        <w:t>泰安</w:t>
      </w:r>
      <w:r>
        <w:rPr>
          <w:rFonts w:hint="eastAsia" w:ascii="仿宋_GB2312" w:eastAsia="仿宋_GB2312"/>
          <w:b/>
          <w:bCs/>
          <w:sz w:val="30"/>
          <w:szCs w:val="30"/>
        </w:rPr>
        <w:t>市行政审批服务局依据法律法规、规章以及有关产业政策、城市规划、商业网点布局等政策规定，及时更新公布负面清单内容。</w:t>
      </w:r>
    </w:p>
    <w:sectPr>
      <w:footerReference r:id="rId5" w:type="default"/>
      <w:pgSz w:w="16838" w:h="11906" w:orient="landscape"/>
      <w:pgMar w:top="1179" w:right="873" w:bottom="1179" w:left="8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FE3EB92-97F6-4540-A7D2-CA5876E91288}"/>
  </w:font>
  <w:font w:name="黑体">
    <w:panose1 w:val="02010609060101010101"/>
    <w:charset w:val="86"/>
    <w:family w:val="auto"/>
    <w:pitch w:val="default"/>
    <w:sig w:usb0="800002BF" w:usb1="38CF7CFA" w:usb2="00000016" w:usb3="00000000" w:csb0="00040001" w:csb1="00000000"/>
    <w:embedRegular r:id="rId2" w:fontKey="{41A9D15C-2817-42B0-B606-FE04F539BC8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7F082A3E-DA9A-4546-B3B2-7FE2E6EAC03C}"/>
  </w:font>
  <w:font w:name="方正仿宋_GBK">
    <w:altName w:val="微软雅黑"/>
    <w:panose1 w:val="00000000000000000000"/>
    <w:charset w:val="86"/>
    <w:family w:val="auto"/>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21C50033-19FF-44A4-AE0F-D3A5EF84818C}"/>
  </w:font>
  <w:font w:name="仿宋">
    <w:panose1 w:val="02010609060101010101"/>
    <w:charset w:val="86"/>
    <w:family w:val="auto"/>
    <w:pitch w:val="default"/>
    <w:sig w:usb0="800002BF" w:usb1="38CF7CFA" w:usb2="00000016" w:usb3="00000000" w:csb0="00040001" w:csb1="00000000"/>
    <w:embedRegular r:id="rId5" w:fontKey="{149E9A55-2CBD-48E5-8084-2B33A2F39991}"/>
  </w:font>
  <w:font w:name="楷体_GB2312">
    <w:panose1 w:val="02010609030101010101"/>
    <w:charset w:val="86"/>
    <w:family w:val="modern"/>
    <w:pitch w:val="default"/>
    <w:sig w:usb0="00000001" w:usb1="080E0000" w:usb2="00000000" w:usb3="00000000" w:csb0="00040000" w:csb1="00000000"/>
    <w:embedRegular r:id="rId6" w:fontKey="{193BE4D6-4602-4823-ABD2-4E14F7C2F58B}"/>
  </w:font>
  <w:font w:name="sinmsun">
    <w:altName w:val="Cambria"/>
    <w:panose1 w:val="00000000000000000000"/>
    <w:charset w:val="00"/>
    <w:family w:val="roman"/>
    <w:pitch w:val="default"/>
    <w:sig w:usb0="00000000" w:usb1="00000000" w:usb2="00000000" w:usb3="00000000" w:csb0="00000000" w:csb1="00000000"/>
    <w:embedRegular r:id="rId7" w:fontKey="{5DB4D1B6-5490-40CC-B6EA-499A37348F84}"/>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5989320</wp:posOffset>
              </wp:positionH>
              <wp:positionV relativeFrom="page">
                <wp:posOffset>9667875</wp:posOffset>
              </wp:positionV>
              <wp:extent cx="647700" cy="203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7700" cy="203200"/>
                      </a:xfrm>
                      <a:prstGeom prst="rect">
                        <a:avLst/>
                      </a:prstGeom>
                      <a:noFill/>
                      <a:ln>
                        <a:noFill/>
                      </a:ln>
                    </wps:spPr>
                    <wps:txbx>
                      <w:txbxContent>
                        <w:p>
                          <w:pPr>
                            <w:spacing w:before="0" w:line="300"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w:t>
                          </w:r>
                          <w:r>
                            <w:fldChar w:fldCharType="end"/>
                          </w:r>
                          <w:r>
                            <w:rPr>
                              <w:rFonts w:ascii="宋体" w:hAns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471.6pt;margin-top:761.25pt;height:16pt;width:51pt;mso-position-horizontal-relative:page;mso-position-vertical-relative:page;z-index:-251657216;mso-width-relative:page;mso-height-relative:page;" filled="f" stroked="f" coordsize="21600,21600" o:gfxdata="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iWyQ2gAAAA4BAAAPAAAAAAAAAAEAIAAAACIAAABkcnMvZG93bnJldi54bWxQSwEC&#10;FAAUAAAACACHTuJAC6Dr/7kBAABxAwAADgAAAAAAAAABACAAAAApAQAAZHJzL2Uyb0RvYy54bWxQ&#10;SwUGAAAAAAYABgBZAQAAVAUAAAAA&#10;">
              <v:fill on="f" focussize="0,0"/>
              <v:stroke on="f"/>
              <v:imagedata o:title=""/>
              <o:lock v:ext="edit" aspectratio="f"/>
              <v:textbox inset="0mm,0mm,0mm,0mm">
                <w:txbxContent>
                  <w:p>
                    <w:pPr>
                      <w:spacing w:before="0" w:line="300"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w:t>
                    </w:r>
                    <w:r>
                      <w:fldChar w:fldCharType="end"/>
                    </w:r>
                    <w:r>
                      <w:rPr>
                        <w:rFonts w:ascii="宋体" w:hAns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994410</wp:posOffset>
              </wp:positionH>
              <wp:positionV relativeFrom="page">
                <wp:posOffset>9667875</wp:posOffset>
              </wp:positionV>
              <wp:extent cx="647700" cy="2032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7700" cy="203200"/>
                      </a:xfrm>
                      <a:prstGeom prst="rect">
                        <a:avLst/>
                      </a:prstGeom>
                      <a:noFill/>
                      <a:ln>
                        <a:noFill/>
                      </a:ln>
                    </wps:spPr>
                    <wps:txbx>
                      <w:txbxContent>
                        <w:p>
                          <w:pPr>
                            <w:spacing w:before="0" w:line="300"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w:t>
                          </w:r>
                          <w:r>
                            <w:fldChar w:fldCharType="end"/>
                          </w:r>
                          <w:r>
                            <w:rPr>
                              <w:rFonts w:ascii="宋体" w:hAns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78.3pt;margin-top:761.25pt;height:16pt;width:51pt;mso-position-horizontal-relative:page;mso-position-vertical-relative:page;z-index:-251657216;mso-width-relative:page;mso-height-relative:page;" filled="f" stroked="f" coordsize="21600,21600" o:gfxdata="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WLJRbZAAAADQEAAA8AAAAAAAAAAQAgAAAAIgAAAGRycy9kb3ducmV2LnhtbFBLAQIU&#10;ABQAAAAIAIdO4kBVtODBuQEAAHEDAAAOAAAAAAAAAAEAIAAAACgBAABkcnMvZTJvRG9jLnhtbFBL&#10;BQYAAAAABgAGAFkBAABTBQAAAAA=&#10;">
              <v:fill on="f" focussize="0,0"/>
              <v:stroke on="f"/>
              <v:imagedata o:title=""/>
              <o:lock v:ext="edit" aspectratio="f"/>
              <v:textbox inset="0mm,0mm,0mm,0mm">
                <w:txbxContent>
                  <w:p>
                    <w:pPr>
                      <w:spacing w:before="0" w:line="300"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w:t>
                    </w:r>
                    <w:r>
                      <w:fldChar w:fldCharType="end"/>
                    </w:r>
                    <w:r>
                      <w:rPr>
                        <w:rFonts w:ascii="宋体" w:hAnsi="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 w:line="177" w:lineRule="auto"/>
      <w:ind w:left="8039"/>
      <w:rPr>
        <w:sz w:val="31"/>
        <w:szCs w:val="31"/>
      </w:rPr>
    </w:pPr>
    <w:r>
      <w:rPr>
        <w:spacing w:val="-32"/>
        <w:w w:val="98"/>
        <w:sz w:val="31"/>
        <w:szCs w:val="31"/>
      </w:rPr>
      <w:t>—13—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78D3A"/>
    <w:multiLevelType w:val="singleLevel"/>
    <w:tmpl w:val="9DF78D3A"/>
    <w:lvl w:ilvl="0" w:tentative="0">
      <w:start w:val="1"/>
      <w:numFmt w:val="chineseCounting"/>
      <w:suff w:val="nothing"/>
      <w:lvlText w:val="（%1）"/>
      <w:lvlJc w:val="left"/>
      <w:rPr>
        <w:rFonts w:hint="eastAsia"/>
      </w:rPr>
    </w:lvl>
  </w:abstractNum>
  <w:abstractNum w:abstractNumId="1">
    <w:nsid w:val="AC67DFD1"/>
    <w:multiLevelType w:val="singleLevel"/>
    <w:tmpl w:val="AC67DFD1"/>
    <w:lvl w:ilvl="0" w:tentative="0">
      <w:start w:val="5"/>
      <w:numFmt w:val="decimal"/>
      <w:lvlText w:val="%1."/>
      <w:lvlJc w:val="left"/>
      <w:pPr>
        <w:tabs>
          <w:tab w:val="left" w:pos="312"/>
        </w:tabs>
      </w:pPr>
    </w:lvl>
  </w:abstractNum>
  <w:abstractNum w:abstractNumId="2">
    <w:nsid w:val="665FE3A2"/>
    <w:multiLevelType w:val="singleLevel"/>
    <w:tmpl w:val="665FE3A2"/>
    <w:lvl w:ilvl="0" w:tentative="0">
      <w:start w:val="1"/>
      <w:numFmt w:val="chineseCounting"/>
      <w:suff w:val="space"/>
      <w:lvlText w:val="%1、"/>
      <w:lvlJc w:val="left"/>
      <w:rPr>
        <w:rFonts w:hint="eastAsia"/>
      </w:rPr>
    </w:lvl>
  </w:abstractNum>
  <w:abstractNum w:abstractNumId="3">
    <w:nsid w:val="67570214"/>
    <w:multiLevelType w:val="singleLevel"/>
    <w:tmpl w:val="67570214"/>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NTUzNzE4N2JlMGYzY2U0NWRkMzUzMzM0YjIwNWYifQ=="/>
  </w:docVars>
  <w:rsids>
    <w:rsidRoot w:val="00000000"/>
    <w:rsid w:val="002C4449"/>
    <w:rsid w:val="02F730A9"/>
    <w:rsid w:val="05DB28D3"/>
    <w:rsid w:val="0A00497C"/>
    <w:rsid w:val="0A477A94"/>
    <w:rsid w:val="0FB71670"/>
    <w:rsid w:val="0FDA73BD"/>
    <w:rsid w:val="10062913"/>
    <w:rsid w:val="104A6951"/>
    <w:rsid w:val="11844B5F"/>
    <w:rsid w:val="143B02AF"/>
    <w:rsid w:val="18694813"/>
    <w:rsid w:val="194A3BB9"/>
    <w:rsid w:val="19A20A41"/>
    <w:rsid w:val="1B5664D1"/>
    <w:rsid w:val="1BDF5CE8"/>
    <w:rsid w:val="1C370DF2"/>
    <w:rsid w:val="1EFA1543"/>
    <w:rsid w:val="24647F9C"/>
    <w:rsid w:val="26C16DEA"/>
    <w:rsid w:val="28EF40E2"/>
    <w:rsid w:val="293C3AE6"/>
    <w:rsid w:val="29A5696E"/>
    <w:rsid w:val="2BED1F7C"/>
    <w:rsid w:val="2E980D78"/>
    <w:rsid w:val="2F7C5FA4"/>
    <w:rsid w:val="30041C4E"/>
    <w:rsid w:val="30B05F05"/>
    <w:rsid w:val="32260A95"/>
    <w:rsid w:val="33633703"/>
    <w:rsid w:val="34545741"/>
    <w:rsid w:val="3508582E"/>
    <w:rsid w:val="36851922"/>
    <w:rsid w:val="394C69E7"/>
    <w:rsid w:val="398B750F"/>
    <w:rsid w:val="3C3420E0"/>
    <w:rsid w:val="3CD73064"/>
    <w:rsid w:val="3FD414E4"/>
    <w:rsid w:val="40A11D0E"/>
    <w:rsid w:val="41A3704E"/>
    <w:rsid w:val="431C1B20"/>
    <w:rsid w:val="49233BEE"/>
    <w:rsid w:val="49451EA3"/>
    <w:rsid w:val="4AAB6C98"/>
    <w:rsid w:val="4D3637DE"/>
    <w:rsid w:val="4E815B7B"/>
    <w:rsid w:val="58207565"/>
    <w:rsid w:val="5859473C"/>
    <w:rsid w:val="59B9557B"/>
    <w:rsid w:val="5DEB2FC5"/>
    <w:rsid w:val="5E261E8C"/>
    <w:rsid w:val="5F0A60D6"/>
    <w:rsid w:val="61D226F9"/>
    <w:rsid w:val="61F15BB2"/>
    <w:rsid w:val="66522F2B"/>
    <w:rsid w:val="67F81518"/>
    <w:rsid w:val="689C5C54"/>
    <w:rsid w:val="6BFD0370"/>
    <w:rsid w:val="6D741A8D"/>
    <w:rsid w:val="6FF41EEC"/>
    <w:rsid w:val="70863CBC"/>
    <w:rsid w:val="73A916FF"/>
    <w:rsid w:val="747E01F9"/>
    <w:rsid w:val="76876E67"/>
    <w:rsid w:val="77C41863"/>
    <w:rsid w:val="7A8C2268"/>
    <w:rsid w:val="7ACA53E2"/>
    <w:rsid w:val="7B114DBF"/>
    <w:rsid w:val="7B804DC1"/>
    <w:rsid w:val="7C086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1"/>
    <w:rPr>
      <w:rFonts w:ascii="仿宋_GB2312" w:hAnsi="仿宋_GB2312" w:eastAsia="仿宋_GB2312" w:cs="仿宋_GB2312"/>
      <w:sz w:val="32"/>
      <w:szCs w:val="32"/>
    </w:rPr>
  </w:style>
  <w:style w:type="paragraph" w:styleId="6">
    <w:name w:val="footer"/>
    <w:basedOn w:val="1"/>
    <w:qFormat/>
    <w:uiPriority w:val="0"/>
    <w:pPr>
      <w:tabs>
        <w:tab w:val="center" w:pos="4153"/>
        <w:tab w:val="right" w:pos="8306"/>
      </w:tabs>
      <w:snapToGrid w:val="0"/>
      <w:jc w:val="left"/>
    </w:pPr>
    <w:rPr>
      <w:rFonts w:ascii="Calibri" w:hAnsi="Calibri" w:cs="宋体"/>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font21"/>
    <w:basedOn w:val="10"/>
    <w:qFormat/>
    <w:uiPriority w:val="0"/>
    <w:rPr>
      <w:rFonts w:hint="default" w:ascii="方正仿宋_GBK" w:hAnsi="方正仿宋_GBK" w:eastAsia="方正仿宋_GBK" w:cs="方正仿宋_GBK"/>
      <w:color w:val="000000"/>
      <w:sz w:val="24"/>
      <w:szCs w:val="24"/>
      <w:u w:val="none"/>
    </w:rPr>
  </w:style>
  <w:style w:type="character" w:customStyle="1" w:styleId="13">
    <w:name w:val="font11"/>
    <w:basedOn w:val="10"/>
    <w:qFormat/>
    <w:uiPriority w:val="0"/>
    <w:rPr>
      <w:rFonts w:hint="eastAsia" w:ascii="宋体" w:hAnsi="宋体" w:eastAsia="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2024-03-07T08:48:00Z</dcterms:created>
  <dc:creator>Administrator</dc:creator>
  <cp:lastModifiedBy>Administrator</cp:lastModifiedBy>
  <cp:lastPrinted>2024-03-19T01:26:00Z</cp:lastPrinted>
  <dcterms:modified xsi:type="dcterms:W3CDTF">2024-04-10T02:51:57Z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79CCED7D086148E1A1DA13D7840AFACF_13</vt:lpwstr>
  </property>
</Properties>
</file>