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outlineLvl w:val="0"/>
        <w:rPr>
          <w:rFonts w:hint="eastAsia" w:eastAsia="华文中宋"/>
          <w:b/>
          <w:bCs/>
          <w:color w:val="000000"/>
          <w:sz w:val="48"/>
          <w:szCs w:val="48"/>
        </w:rPr>
      </w:pPr>
      <w:bookmarkStart w:id="0" w:name="_Toc15203"/>
      <w:bookmarkStart w:id="1" w:name="_Toc29551"/>
      <w:r>
        <w:rPr>
          <w:rFonts w:hint="eastAsia" w:eastAsia="华文中宋"/>
          <w:b/>
          <w:bCs/>
          <w:color w:val="000000"/>
          <w:sz w:val="48"/>
          <w:szCs w:val="48"/>
          <w:lang w:eastAsia="zh-CN"/>
        </w:rPr>
        <w:t>泰安市泰山风景名胜区</w:t>
      </w:r>
      <w:r>
        <w:rPr>
          <w:rFonts w:eastAsia="华文中宋"/>
          <w:b/>
          <w:bCs/>
          <w:color w:val="000000"/>
          <w:sz w:val="48"/>
          <w:szCs w:val="48"/>
        </w:rPr>
        <w:t>畜禽</w:t>
      </w:r>
      <w:r>
        <w:rPr>
          <w:rFonts w:hint="eastAsia" w:eastAsia="华文中宋"/>
          <w:b/>
          <w:bCs/>
          <w:color w:val="000000"/>
          <w:sz w:val="48"/>
          <w:szCs w:val="48"/>
        </w:rPr>
        <w:t>养殖</w:t>
      </w:r>
    </w:p>
    <w:p>
      <w:pPr>
        <w:jc w:val="center"/>
        <w:outlineLvl w:val="0"/>
        <w:rPr>
          <w:rFonts w:eastAsia="华文中宋"/>
          <w:b/>
          <w:bCs/>
          <w:color w:val="000000"/>
          <w:sz w:val="48"/>
          <w:szCs w:val="48"/>
        </w:rPr>
      </w:pPr>
      <w:r>
        <w:rPr>
          <w:rFonts w:hint="eastAsia" w:eastAsia="华文中宋"/>
          <w:b/>
          <w:bCs/>
          <w:color w:val="000000"/>
          <w:sz w:val="48"/>
          <w:szCs w:val="48"/>
        </w:rPr>
        <w:t>污染防治规划</w:t>
      </w:r>
      <w:bookmarkEnd w:id="0"/>
      <w:bookmarkEnd w:id="1"/>
    </w:p>
    <w:p>
      <w:pPr>
        <w:jc w:val="center"/>
        <w:rPr>
          <w:rFonts w:eastAsia="华文中宋"/>
          <w:b/>
          <w:bCs/>
          <w:color w:val="000000"/>
          <w:sz w:val="48"/>
          <w:szCs w:val="48"/>
        </w:rPr>
      </w:pPr>
      <w:r>
        <w:rPr>
          <w:rFonts w:hint="eastAsia" w:eastAsia="华文中宋"/>
          <w:b/>
          <w:bCs/>
          <w:color w:val="000000"/>
          <w:sz w:val="48"/>
          <w:szCs w:val="48"/>
        </w:rPr>
        <w:t>（2021-2025</w:t>
      </w:r>
      <w:r>
        <w:rPr>
          <w:rFonts w:hint="eastAsia" w:eastAsia="华文中宋"/>
          <w:b/>
          <w:bCs/>
          <w:color w:val="000000"/>
          <w:sz w:val="48"/>
          <w:szCs w:val="48"/>
          <w:lang w:eastAsia="zh-CN"/>
        </w:rPr>
        <w:t>年</w:t>
      </w:r>
      <w:r>
        <w:rPr>
          <w:rFonts w:hint="eastAsia" w:eastAsia="华文中宋"/>
          <w:b/>
          <w:bCs/>
          <w:color w:val="000000"/>
          <w:sz w:val="48"/>
          <w:szCs w:val="48"/>
        </w:rPr>
        <w:t>）</w:t>
      </w:r>
    </w:p>
    <w:p>
      <w:pPr>
        <w:jc w:val="both"/>
        <w:rPr>
          <w:rFonts w:eastAsia="华文中宋"/>
          <w:b/>
          <w:bCs/>
          <w:color w:val="000000"/>
          <w:sz w:val="84"/>
          <w:szCs w:val="84"/>
        </w:rPr>
      </w:pPr>
    </w:p>
    <w:p>
      <w:pPr>
        <w:jc w:val="center"/>
        <w:rPr>
          <w:rFonts w:eastAsia="华文中宋"/>
          <w:b/>
          <w:bCs/>
          <w:color w:val="000000"/>
          <w:sz w:val="84"/>
          <w:szCs w:val="84"/>
        </w:rPr>
      </w:pPr>
    </w:p>
    <w:p>
      <w:pPr>
        <w:rPr>
          <w:b/>
          <w:bCs/>
          <w:color w:val="000000"/>
          <w:sz w:val="28"/>
          <w:szCs w:val="28"/>
        </w:rPr>
      </w:pPr>
    </w:p>
    <w:p>
      <w:pPr>
        <w:rPr>
          <w:b/>
          <w:bCs/>
          <w:color w:val="000000"/>
          <w:sz w:val="28"/>
          <w:szCs w:val="28"/>
        </w:rPr>
      </w:pPr>
    </w:p>
    <w:p>
      <w:pPr>
        <w:rPr>
          <w:b/>
          <w:bCs/>
          <w:color w:val="000000"/>
          <w:sz w:val="28"/>
          <w:szCs w:val="28"/>
        </w:rPr>
      </w:pPr>
    </w:p>
    <w:p>
      <w:pPr>
        <w:rPr>
          <w:b/>
          <w:bCs/>
          <w:color w:val="000000"/>
          <w:sz w:val="28"/>
          <w:szCs w:val="28"/>
        </w:rPr>
      </w:pPr>
    </w:p>
    <w:p>
      <w:pPr>
        <w:spacing w:line="720" w:lineRule="auto"/>
        <w:rPr>
          <w:color w:val="000000"/>
          <w:kern w:val="0"/>
          <w:sz w:val="28"/>
          <w:szCs w:val="28"/>
        </w:rPr>
      </w:pPr>
    </w:p>
    <w:p>
      <w:pPr>
        <w:jc w:val="both"/>
        <w:rPr>
          <w:b/>
          <w:color w:val="000000"/>
          <w:sz w:val="28"/>
          <w:szCs w:val="28"/>
        </w:rPr>
      </w:pPr>
    </w:p>
    <w:p>
      <w:pPr>
        <w:pStyle w:val="2"/>
        <w:jc w:val="center"/>
        <w:outlineLvl w:val="0"/>
        <w:rPr>
          <w:rFonts w:hint="eastAsia"/>
          <w:lang w:val="en-US" w:eastAsia="zh-CN"/>
        </w:rPr>
      </w:pPr>
      <w:bookmarkStart w:id="2" w:name="_Toc2342"/>
      <w:bookmarkStart w:id="3" w:name="_Toc20551"/>
    </w:p>
    <w:p>
      <w:pPr>
        <w:pStyle w:val="2"/>
        <w:jc w:val="center"/>
        <w:outlineLvl w:val="0"/>
        <w:rPr>
          <w:b/>
          <w:color w:val="000000"/>
          <w:sz w:val="28"/>
          <w:szCs w:val="28"/>
        </w:rPr>
        <w:sectPr>
          <w:headerReference r:id="rId3" w:type="default"/>
          <w:pgSz w:w="11906" w:h="16838"/>
          <w:pgMar w:top="1418" w:right="1531" w:bottom="1418" w:left="1531" w:header="851" w:footer="737" w:gutter="0"/>
          <w:cols w:space="720" w:num="1"/>
          <w:docGrid w:type="lines" w:linePitch="312" w:charSpace="0"/>
        </w:sectPr>
      </w:pPr>
      <w:r>
        <w:rPr>
          <w:rFonts w:hint="eastAsia"/>
          <w:lang w:val="en-US" w:eastAsia="zh-CN"/>
        </w:rPr>
        <w:t>泰安市泰山风景名胜区管理委员会</w:t>
      </w:r>
      <w:bookmarkEnd w:id="2"/>
      <w:bookmarkEnd w:id="3"/>
    </w:p>
    <w:sdt>
      <w:sdtPr>
        <w:rPr>
          <w:rFonts w:ascii="宋体" w:hAnsi="宋体" w:eastAsia="宋体" w:cs="Times New Roman"/>
          <w:kern w:val="2"/>
          <w:sz w:val="40"/>
          <w:szCs w:val="36"/>
          <w:lang w:val="en-US" w:eastAsia="zh-CN" w:bidi="ar-SA"/>
        </w:rPr>
        <w:id w:val="147476973"/>
        <w15:color w:val="DBDBDB"/>
        <w:docPartObj>
          <w:docPartGallery w:val="Table of Contents"/>
          <w:docPartUnique/>
        </w:docPartObj>
      </w:sdtPr>
      <w:sdtEndPr>
        <w:rPr>
          <w:rFonts w:hint="eastAsia" w:ascii="仿宋" w:hAnsi="仿宋" w:eastAsia="仿宋" w:cs="仿宋"/>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sz w:val="40"/>
              <w:szCs w:val="36"/>
            </w:rPr>
          </w:pPr>
          <w:bookmarkStart w:id="41" w:name="_GoBack"/>
          <w:bookmarkEnd w:id="41"/>
          <w:r>
            <w:rPr>
              <w:rFonts w:ascii="宋体" w:hAnsi="宋体" w:eastAsia="宋体"/>
              <w:sz w:val="40"/>
              <w:szCs w:val="36"/>
            </w:rPr>
            <w:t>目</w:t>
          </w:r>
          <w:r>
            <w:rPr>
              <w:rFonts w:hint="eastAsia" w:ascii="宋体" w:hAnsi="宋体"/>
              <w:sz w:val="40"/>
              <w:szCs w:val="36"/>
              <w:lang w:val="en-US" w:eastAsia="zh-CN"/>
            </w:rPr>
            <w:t xml:space="preserve">  </w:t>
          </w:r>
          <w:r>
            <w:rPr>
              <w:rFonts w:ascii="宋体" w:hAnsi="宋体" w:eastAsia="宋体"/>
              <w:sz w:val="40"/>
              <w:szCs w:val="36"/>
            </w:rPr>
            <w:t>录</w:t>
          </w:r>
        </w:p>
        <w:p>
          <w:pPr>
            <w:pStyle w:val="2"/>
          </w:pP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TOC \o "1-1" \h \u </w:instrText>
          </w:r>
          <w:r>
            <w:rPr>
              <w:rFonts w:hint="eastAsia" w:ascii="仿宋" w:hAnsi="仿宋" w:eastAsia="仿宋" w:cs="仿宋"/>
              <w:sz w:val="32"/>
              <w:szCs w:val="32"/>
            </w:rPr>
            <w:fldChar w:fldCharType="separate"/>
          </w: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_Toc15028 </w:instrText>
          </w:r>
          <w:r>
            <w:rPr>
              <w:rFonts w:hint="eastAsia" w:ascii="仿宋" w:hAnsi="仿宋" w:eastAsia="仿宋" w:cs="仿宋"/>
              <w:sz w:val="32"/>
              <w:szCs w:val="32"/>
            </w:rPr>
            <w:fldChar w:fldCharType="separate"/>
          </w:r>
          <w:r>
            <w:rPr>
              <w:rFonts w:hint="eastAsia" w:ascii="仿宋" w:hAnsi="仿宋" w:eastAsia="仿宋" w:cs="仿宋"/>
              <w:sz w:val="32"/>
              <w:szCs w:val="32"/>
            </w:rPr>
            <w:t>一、编制背景和依据</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_Toc15028 \h </w:instrText>
          </w:r>
          <w:r>
            <w:rPr>
              <w:rFonts w:hint="eastAsia" w:ascii="仿宋" w:hAnsi="仿宋" w:eastAsia="仿宋" w:cs="仿宋"/>
              <w:sz w:val="32"/>
              <w:szCs w:val="32"/>
            </w:rPr>
            <w:fldChar w:fldCharType="separate"/>
          </w:r>
          <w:r>
            <w:rPr>
              <w:rFonts w:hint="eastAsia" w:ascii="仿宋" w:hAnsi="仿宋" w:eastAsia="仿宋" w:cs="仿宋"/>
              <w:sz w:val="32"/>
              <w:szCs w:val="32"/>
            </w:rPr>
            <w:t>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_Toc2172 </w:instrText>
          </w:r>
          <w:r>
            <w:rPr>
              <w:rFonts w:hint="eastAsia" w:ascii="仿宋" w:hAnsi="仿宋" w:eastAsia="仿宋" w:cs="仿宋"/>
              <w:sz w:val="32"/>
              <w:szCs w:val="32"/>
            </w:rPr>
            <w:fldChar w:fldCharType="separate"/>
          </w:r>
          <w:r>
            <w:rPr>
              <w:rFonts w:hint="eastAsia" w:ascii="仿宋" w:hAnsi="仿宋" w:eastAsia="仿宋" w:cs="仿宋"/>
              <w:sz w:val="32"/>
              <w:szCs w:val="32"/>
            </w:rPr>
            <w:t>二、区域概况和畜禽养殖业现状</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_Toc2172 \h </w:instrText>
          </w:r>
          <w:r>
            <w:rPr>
              <w:rFonts w:hint="eastAsia" w:ascii="仿宋" w:hAnsi="仿宋" w:eastAsia="仿宋" w:cs="仿宋"/>
              <w:sz w:val="32"/>
              <w:szCs w:val="32"/>
            </w:rPr>
            <w:fldChar w:fldCharType="separate"/>
          </w:r>
          <w:r>
            <w:rPr>
              <w:rFonts w:hint="eastAsia" w:ascii="仿宋" w:hAnsi="仿宋" w:eastAsia="仿宋" w:cs="仿宋"/>
              <w:sz w:val="32"/>
              <w:szCs w:val="32"/>
            </w:rPr>
            <w:t>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_Toc21240 </w:instrText>
          </w:r>
          <w:r>
            <w:rPr>
              <w:rFonts w:hint="eastAsia" w:ascii="仿宋" w:hAnsi="仿宋" w:eastAsia="仿宋" w:cs="仿宋"/>
              <w:sz w:val="32"/>
              <w:szCs w:val="32"/>
            </w:rPr>
            <w:fldChar w:fldCharType="separate"/>
          </w:r>
          <w:r>
            <w:rPr>
              <w:rFonts w:hint="eastAsia" w:ascii="仿宋" w:hAnsi="仿宋" w:eastAsia="仿宋" w:cs="仿宋"/>
              <w:sz w:val="32"/>
              <w:szCs w:val="32"/>
            </w:rPr>
            <w:t>三、规划目标</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_Toc21240 \h </w:instrText>
          </w:r>
          <w:r>
            <w:rPr>
              <w:rFonts w:hint="eastAsia" w:ascii="仿宋" w:hAnsi="仿宋" w:eastAsia="仿宋" w:cs="仿宋"/>
              <w:sz w:val="32"/>
              <w:szCs w:val="32"/>
            </w:rPr>
            <w:fldChar w:fldCharType="separate"/>
          </w:r>
          <w:r>
            <w:rPr>
              <w:rFonts w:hint="eastAsia" w:ascii="仿宋" w:hAnsi="仿宋" w:eastAsia="仿宋" w:cs="仿宋"/>
              <w:sz w:val="32"/>
              <w:szCs w:val="32"/>
            </w:rPr>
            <w:t>15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_Toc9591 </w:instrText>
          </w:r>
          <w:r>
            <w:rPr>
              <w:rFonts w:hint="eastAsia" w:ascii="仿宋" w:hAnsi="仿宋" w:eastAsia="仿宋" w:cs="仿宋"/>
              <w:sz w:val="32"/>
              <w:szCs w:val="32"/>
            </w:rPr>
            <w:fldChar w:fldCharType="separate"/>
          </w:r>
          <w:r>
            <w:rPr>
              <w:rFonts w:hint="eastAsia" w:ascii="仿宋" w:hAnsi="仿宋" w:eastAsia="仿宋" w:cs="仿宋"/>
              <w:sz w:val="32"/>
              <w:szCs w:val="32"/>
            </w:rPr>
            <w:t>四、畜禽养殖污染防治主要任务</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_Toc9591 \h </w:instrText>
          </w:r>
          <w:r>
            <w:rPr>
              <w:rFonts w:hint="eastAsia" w:ascii="仿宋" w:hAnsi="仿宋" w:eastAsia="仿宋" w:cs="仿宋"/>
              <w:sz w:val="32"/>
              <w:szCs w:val="32"/>
            </w:rPr>
            <w:fldChar w:fldCharType="separate"/>
          </w:r>
          <w:r>
            <w:rPr>
              <w:rFonts w:hint="eastAsia" w:ascii="仿宋" w:hAnsi="仿宋" w:eastAsia="仿宋" w:cs="仿宋"/>
              <w:sz w:val="32"/>
              <w:szCs w:val="32"/>
            </w:rPr>
            <w:t>17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_Toc28627 </w:instrText>
          </w:r>
          <w:r>
            <w:rPr>
              <w:rFonts w:hint="eastAsia" w:ascii="仿宋" w:hAnsi="仿宋" w:eastAsia="仿宋" w:cs="仿宋"/>
              <w:sz w:val="32"/>
              <w:szCs w:val="32"/>
            </w:rPr>
            <w:fldChar w:fldCharType="separate"/>
          </w:r>
          <w:r>
            <w:rPr>
              <w:rFonts w:hint="eastAsia" w:ascii="仿宋" w:hAnsi="仿宋" w:eastAsia="仿宋" w:cs="仿宋"/>
              <w:sz w:val="32"/>
              <w:szCs w:val="32"/>
              <w:lang w:eastAsia="zh-CN"/>
            </w:rPr>
            <w:t>五</w:t>
          </w:r>
          <w:r>
            <w:rPr>
              <w:rFonts w:hint="eastAsia" w:ascii="仿宋" w:hAnsi="仿宋" w:eastAsia="仿宋" w:cs="仿宋"/>
              <w:sz w:val="32"/>
              <w:szCs w:val="32"/>
            </w:rPr>
            <w:t>、效益分析</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_Toc28627 \h </w:instrText>
          </w:r>
          <w:r>
            <w:rPr>
              <w:rFonts w:hint="eastAsia" w:ascii="仿宋" w:hAnsi="仿宋" w:eastAsia="仿宋" w:cs="仿宋"/>
              <w:sz w:val="32"/>
              <w:szCs w:val="32"/>
            </w:rPr>
            <w:fldChar w:fldCharType="separate"/>
          </w:r>
          <w:r>
            <w:rPr>
              <w:rFonts w:hint="eastAsia" w:ascii="仿宋" w:hAnsi="仿宋" w:eastAsia="仿宋" w:cs="仿宋"/>
              <w:sz w:val="32"/>
              <w:szCs w:val="32"/>
            </w:rPr>
            <w:t>24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_Toc1060 </w:instrText>
          </w:r>
          <w:r>
            <w:rPr>
              <w:rFonts w:hint="eastAsia" w:ascii="仿宋" w:hAnsi="仿宋" w:eastAsia="仿宋" w:cs="仿宋"/>
              <w:sz w:val="32"/>
              <w:szCs w:val="32"/>
            </w:rPr>
            <w:fldChar w:fldCharType="separate"/>
          </w:r>
          <w:r>
            <w:rPr>
              <w:rFonts w:hint="eastAsia" w:ascii="仿宋" w:hAnsi="仿宋" w:eastAsia="仿宋" w:cs="仿宋"/>
              <w:sz w:val="32"/>
              <w:szCs w:val="32"/>
              <w:lang w:eastAsia="zh-CN"/>
            </w:rPr>
            <w:t>六</w:t>
          </w:r>
          <w:r>
            <w:rPr>
              <w:rFonts w:hint="eastAsia" w:ascii="仿宋" w:hAnsi="仿宋" w:eastAsia="仿宋" w:cs="仿宋"/>
              <w:sz w:val="32"/>
              <w:szCs w:val="32"/>
            </w:rPr>
            <w:t>、 保障措施</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_Toc1060 \h </w:instrText>
          </w:r>
          <w:r>
            <w:rPr>
              <w:rFonts w:hint="eastAsia" w:ascii="仿宋" w:hAnsi="仿宋" w:eastAsia="仿宋" w:cs="仿宋"/>
              <w:sz w:val="32"/>
              <w:szCs w:val="32"/>
            </w:rPr>
            <w:fldChar w:fldCharType="separate"/>
          </w:r>
          <w:r>
            <w:rPr>
              <w:rFonts w:hint="eastAsia" w:ascii="仿宋" w:hAnsi="仿宋" w:eastAsia="仿宋" w:cs="仿宋"/>
              <w:sz w:val="32"/>
              <w:szCs w:val="32"/>
            </w:rPr>
            <w:t>25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_Toc566 </w:instrText>
          </w:r>
          <w:r>
            <w:rPr>
              <w:rFonts w:hint="eastAsia" w:ascii="仿宋" w:hAnsi="仿宋" w:eastAsia="仿宋" w:cs="仿宋"/>
              <w:sz w:val="32"/>
              <w:szCs w:val="32"/>
            </w:rPr>
            <w:fldChar w:fldCharType="separate"/>
          </w:r>
          <w:r>
            <w:rPr>
              <w:rFonts w:hint="eastAsia" w:ascii="仿宋" w:hAnsi="仿宋" w:eastAsia="仿宋" w:cs="仿宋"/>
              <w:sz w:val="32"/>
              <w:szCs w:val="32"/>
              <w:lang w:eastAsia="zh-CN"/>
            </w:rPr>
            <w:t>七、</w:t>
          </w:r>
          <w:r>
            <w:rPr>
              <w:rFonts w:hint="eastAsia" w:ascii="仿宋" w:hAnsi="仿宋" w:eastAsia="仿宋" w:cs="仿宋"/>
              <w:sz w:val="32"/>
              <w:szCs w:val="32"/>
            </w:rPr>
            <w:t>加大宣传</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_Toc566 \h </w:instrText>
          </w:r>
          <w:r>
            <w:rPr>
              <w:rFonts w:hint="eastAsia" w:ascii="仿宋" w:hAnsi="仿宋" w:eastAsia="仿宋" w:cs="仿宋"/>
              <w:sz w:val="32"/>
              <w:szCs w:val="32"/>
            </w:rPr>
            <w:fldChar w:fldCharType="separate"/>
          </w:r>
          <w:r>
            <w:rPr>
              <w:rFonts w:hint="eastAsia" w:ascii="仿宋" w:hAnsi="仿宋" w:eastAsia="仿宋" w:cs="仿宋"/>
              <w:sz w:val="32"/>
              <w:szCs w:val="32"/>
            </w:rPr>
            <w:t>26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_Toc22366 </w:instrText>
          </w:r>
          <w:r>
            <w:rPr>
              <w:rFonts w:hint="eastAsia" w:ascii="仿宋" w:hAnsi="仿宋" w:eastAsia="仿宋" w:cs="仿宋"/>
              <w:sz w:val="32"/>
              <w:szCs w:val="32"/>
            </w:rPr>
            <w:fldChar w:fldCharType="separate"/>
          </w:r>
          <w:r>
            <w:rPr>
              <w:rFonts w:hint="eastAsia" w:ascii="仿宋" w:hAnsi="仿宋" w:eastAsia="仿宋" w:cs="仿宋"/>
              <w:sz w:val="32"/>
              <w:szCs w:val="32"/>
            </w:rPr>
            <w:t>附表1</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_Toc22366 \h </w:instrText>
          </w:r>
          <w:r>
            <w:rPr>
              <w:rFonts w:hint="eastAsia" w:ascii="仿宋" w:hAnsi="仿宋" w:eastAsia="仿宋" w:cs="仿宋"/>
              <w:sz w:val="32"/>
              <w:szCs w:val="32"/>
            </w:rPr>
            <w:fldChar w:fldCharType="separate"/>
          </w:r>
          <w:r>
            <w:rPr>
              <w:rFonts w:hint="eastAsia" w:ascii="仿宋" w:hAnsi="仿宋" w:eastAsia="仿宋" w:cs="仿宋"/>
              <w:sz w:val="32"/>
              <w:szCs w:val="32"/>
            </w:rPr>
            <w:t>27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_Toc10359 </w:instrText>
          </w:r>
          <w:r>
            <w:rPr>
              <w:rFonts w:hint="eastAsia" w:ascii="仿宋" w:hAnsi="仿宋" w:eastAsia="仿宋" w:cs="仿宋"/>
              <w:sz w:val="32"/>
              <w:szCs w:val="32"/>
            </w:rPr>
            <w:fldChar w:fldCharType="separate"/>
          </w:r>
          <w:r>
            <w:rPr>
              <w:rFonts w:hint="eastAsia" w:ascii="仿宋" w:hAnsi="仿宋" w:eastAsia="仿宋" w:cs="仿宋"/>
              <w:kern w:val="0"/>
              <w:sz w:val="32"/>
              <w:szCs w:val="32"/>
            </w:rPr>
            <w:t>2020年</w:t>
          </w:r>
          <w:r>
            <w:rPr>
              <w:rFonts w:hint="eastAsia" w:ascii="仿宋" w:hAnsi="仿宋" w:eastAsia="仿宋" w:cs="仿宋"/>
              <w:sz w:val="32"/>
              <w:szCs w:val="32"/>
            </w:rPr>
            <w:t>畜禽规模养殖</w:t>
          </w:r>
          <w:r>
            <w:rPr>
              <w:rFonts w:hint="eastAsia" w:ascii="仿宋" w:hAnsi="仿宋" w:eastAsia="仿宋" w:cs="仿宋"/>
              <w:sz w:val="32"/>
              <w:szCs w:val="32"/>
              <w:lang w:val="en-US" w:eastAsia="zh-CN"/>
            </w:rPr>
            <w:t>单位</w:t>
          </w:r>
          <w:r>
            <w:rPr>
              <w:rFonts w:hint="eastAsia" w:ascii="仿宋" w:hAnsi="仿宋" w:eastAsia="仿宋" w:cs="仿宋"/>
              <w:sz w:val="32"/>
              <w:szCs w:val="32"/>
            </w:rPr>
            <w:t>名单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_Toc10359 \h </w:instrText>
          </w:r>
          <w:r>
            <w:rPr>
              <w:rFonts w:hint="eastAsia" w:ascii="仿宋" w:hAnsi="仿宋" w:eastAsia="仿宋" w:cs="仿宋"/>
              <w:sz w:val="32"/>
              <w:szCs w:val="32"/>
            </w:rPr>
            <w:fldChar w:fldCharType="separate"/>
          </w:r>
          <w:r>
            <w:rPr>
              <w:rFonts w:hint="eastAsia" w:ascii="仿宋" w:hAnsi="仿宋" w:eastAsia="仿宋" w:cs="仿宋"/>
              <w:sz w:val="32"/>
              <w:szCs w:val="32"/>
            </w:rPr>
            <w:t>27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_Toc18286 </w:instrText>
          </w:r>
          <w:r>
            <w:rPr>
              <w:rFonts w:hint="eastAsia" w:ascii="仿宋" w:hAnsi="仿宋" w:eastAsia="仿宋" w:cs="仿宋"/>
              <w:sz w:val="32"/>
              <w:szCs w:val="32"/>
            </w:rPr>
            <w:fldChar w:fldCharType="separate"/>
          </w:r>
          <w:r>
            <w:rPr>
              <w:rFonts w:hint="eastAsia" w:ascii="仿宋" w:hAnsi="仿宋" w:eastAsia="仿宋" w:cs="仿宋"/>
              <w:sz w:val="32"/>
              <w:szCs w:val="32"/>
            </w:rPr>
            <w:t>附表</w:t>
          </w:r>
          <w:r>
            <w:rPr>
              <w:rFonts w:hint="eastAsia" w:ascii="仿宋" w:hAnsi="仿宋" w:eastAsia="仿宋" w:cs="仿宋"/>
              <w:sz w:val="32"/>
              <w:szCs w:val="32"/>
              <w:lang w:val="en-US" w:eastAsia="zh-CN"/>
            </w:rPr>
            <w:t>2</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_Toc18286 \h </w:instrText>
          </w:r>
          <w:r>
            <w:rPr>
              <w:rFonts w:hint="eastAsia" w:ascii="仿宋" w:hAnsi="仿宋" w:eastAsia="仿宋" w:cs="仿宋"/>
              <w:sz w:val="32"/>
              <w:szCs w:val="32"/>
            </w:rPr>
            <w:fldChar w:fldCharType="separate"/>
          </w:r>
          <w:r>
            <w:rPr>
              <w:rFonts w:hint="eastAsia" w:ascii="仿宋" w:hAnsi="仿宋" w:eastAsia="仿宋" w:cs="仿宋"/>
              <w:sz w:val="32"/>
              <w:szCs w:val="32"/>
            </w:rPr>
            <w:t>28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46"/>
            <w:tabs>
              <w:tab w:val="right" w:leader="dot" w:pos="8844"/>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_Toc26618 </w:instrText>
          </w:r>
          <w:r>
            <w:rPr>
              <w:rFonts w:hint="eastAsia" w:ascii="仿宋" w:hAnsi="仿宋" w:eastAsia="仿宋" w:cs="仿宋"/>
              <w:sz w:val="32"/>
              <w:szCs w:val="32"/>
            </w:rPr>
            <w:fldChar w:fldCharType="separate"/>
          </w:r>
          <w:r>
            <w:rPr>
              <w:rFonts w:hint="eastAsia" w:ascii="仿宋" w:hAnsi="仿宋" w:eastAsia="仿宋" w:cs="仿宋"/>
              <w:kern w:val="0"/>
              <w:sz w:val="32"/>
              <w:szCs w:val="32"/>
            </w:rPr>
            <w:t>2020年</w:t>
          </w:r>
          <w:r>
            <w:rPr>
              <w:rFonts w:hint="eastAsia" w:ascii="仿宋" w:hAnsi="仿宋" w:eastAsia="仿宋" w:cs="仿宋"/>
              <w:sz w:val="32"/>
              <w:szCs w:val="32"/>
            </w:rPr>
            <w:t>养殖</w:t>
          </w:r>
          <w:r>
            <w:rPr>
              <w:rFonts w:hint="eastAsia" w:ascii="仿宋" w:hAnsi="仿宋" w:eastAsia="仿宋" w:cs="仿宋"/>
              <w:sz w:val="32"/>
              <w:szCs w:val="32"/>
              <w:lang w:eastAsia="zh-CN"/>
            </w:rPr>
            <w:t>专业户</w:t>
          </w:r>
          <w:r>
            <w:rPr>
              <w:rFonts w:hint="eastAsia" w:ascii="仿宋" w:hAnsi="仿宋" w:eastAsia="仿宋" w:cs="仿宋"/>
              <w:sz w:val="32"/>
              <w:szCs w:val="32"/>
              <w:lang w:val="en-US" w:eastAsia="zh-CN"/>
            </w:rPr>
            <w:t>单位</w:t>
          </w:r>
          <w:r>
            <w:rPr>
              <w:rFonts w:hint="eastAsia" w:ascii="仿宋" w:hAnsi="仿宋" w:eastAsia="仿宋" w:cs="仿宋"/>
              <w:sz w:val="32"/>
              <w:szCs w:val="32"/>
            </w:rPr>
            <w:t>名单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_Toc26618 \h </w:instrText>
          </w:r>
          <w:r>
            <w:rPr>
              <w:rFonts w:hint="eastAsia" w:ascii="仿宋" w:hAnsi="仿宋" w:eastAsia="仿宋" w:cs="仿宋"/>
              <w:sz w:val="32"/>
              <w:szCs w:val="32"/>
            </w:rPr>
            <w:fldChar w:fldCharType="separate"/>
          </w:r>
          <w:r>
            <w:rPr>
              <w:rFonts w:hint="eastAsia" w:ascii="仿宋" w:hAnsi="仿宋" w:eastAsia="仿宋" w:cs="仿宋"/>
              <w:sz w:val="32"/>
              <w:szCs w:val="32"/>
            </w:rPr>
            <w:t>28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rPr>
              <w:rFonts w:hint="eastAsia" w:ascii="仿宋" w:hAnsi="仿宋" w:eastAsia="仿宋" w:cs="仿宋"/>
              <w:sz w:val="32"/>
              <w:szCs w:val="32"/>
            </w:rPr>
          </w:pPr>
          <w:r>
            <w:rPr>
              <w:rFonts w:hint="eastAsia" w:ascii="仿宋" w:hAnsi="仿宋" w:eastAsia="仿宋" w:cs="仿宋"/>
              <w:sz w:val="32"/>
              <w:szCs w:val="32"/>
            </w:rPr>
            <w:fldChar w:fldCharType="end"/>
          </w:r>
        </w:p>
      </w:sdtContent>
    </w:sdt>
    <w:p/>
    <w:p/>
    <w:p/>
    <w:p/>
    <w:p/>
    <w:p/>
    <w:p/>
    <w:p/>
    <w:p/>
    <w:p/>
    <w:p/>
    <w:p>
      <w:pPr>
        <w:jc w:val="center"/>
        <w:outlineLvl w:val="0"/>
        <w:rPr>
          <w:rFonts w:hint="eastAsia" w:eastAsia="华文中宋"/>
          <w:b/>
          <w:bCs/>
          <w:color w:val="000000"/>
          <w:sz w:val="48"/>
          <w:szCs w:val="48"/>
        </w:rPr>
      </w:pPr>
      <w:bookmarkStart w:id="4" w:name="_Toc208"/>
      <w:r>
        <w:rPr>
          <w:rFonts w:hint="eastAsia" w:eastAsia="华文中宋"/>
          <w:b/>
          <w:bCs/>
          <w:color w:val="000000"/>
          <w:sz w:val="48"/>
          <w:szCs w:val="48"/>
          <w:lang w:eastAsia="zh-CN"/>
        </w:rPr>
        <w:t>泰安市泰山风景名胜区</w:t>
      </w:r>
      <w:r>
        <w:rPr>
          <w:rFonts w:eastAsia="华文中宋"/>
          <w:b/>
          <w:bCs/>
          <w:color w:val="000000"/>
          <w:sz w:val="48"/>
          <w:szCs w:val="48"/>
        </w:rPr>
        <w:t>畜禽</w:t>
      </w:r>
      <w:r>
        <w:rPr>
          <w:rFonts w:hint="eastAsia" w:eastAsia="华文中宋"/>
          <w:b/>
          <w:bCs/>
          <w:color w:val="000000"/>
          <w:sz w:val="48"/>
          <w:szCs w:val="48"/>
        </w:rPr>
        <w:t>养殖</w:t>
      </w:r>
    </w:p>
    <w:p>
      <w:pPr>
        <w:jc w:val="center"/>
        <w:outlineLvl w:val="0"/>
        <w:rPr>
          <w:rFonts w:eastAsia="华文中宋"/>
          <w:b/>
          <w:bCs/>
          <w:color w:val="000000"/>
          <w:sz w:val="48"/>
          <w:szCs w:val="48"/>
        </w:rPr>
      </w:pPr>
      <w:r>
        <w:rPr>
          <w:rFonts w:hint="eastAsia" w:eastAsia="华文中宋"/>
          <w:b/>
          <w:bCs/>
          <w:color w:val="000000"/>
          <w:sz w:val="48"/>
          <w:szCs w:val="48"/>
        </w:rPr>
        <w:t>污染防治规划</w:t>
      </w:r>
      <w:bookmarkEnd w:id="4"/>
    </w:p>
    <w:p>
      <w:pPr>
        <w:widowControl/>
        <w:ind w:firstLine="630" w:firstLineChars="197"/>
        <w:jc w:val="left"/>
        <w:rPr>
          <w:rFonts w:ascii="黑体" w:hAnsi="黑体" w:eastAsia="黑体"/>
          <w:color w:val="000000"/>
          <w:sz w:val="32"/>
          <w:szCs w:val="32"/>
        </w:rPr>
      </w:pPr>
    </w:p>
    <w:p>
      <w:pPr>
        <w:widowControl/>
        <w:ind w:firstLine="630" w:firstLineChars="197"/>
        <w:jc w:val="left"/>
        <w:outlineLvl w:val="0"/>
        <w:rPr>
          <w:rFonts w:ascii="黑体" w:hAnsi="黑体" w:eastAsia="黑体"/>
          <w:color w:val="000000"/>
          <w:sz w:val="32"/>
          <w:szCs w:val="32"/>
        </w:rPr>
      </w:pPr>
      <w:bookmarkStart w:id="5" w:name="_Toc14511"/>
      <w:bookmarkStart w:id="6" w:name="_Toc15028"/>
      <w:r>
        <w:rPr>
          <w:rFonts w:hint="eastAsia" w:ascii="黑体" w:hAnsi="黑体" w:eastAsia="黑体"/>
          <w:color w:val="000000"/>
          <w:sz w:val="32"/>
          <w:szCs w:val="32"/>
        </w:rPr>
        <w:t>一、编制背景和依据</w:t>
      </w:r>
      <w:bookmarkEnd w:id="5"/>
      <w:bookmarkEnd w:id="6"/>
    </w:p>
    <w:p>
      <w:pPr>
        <w:widowControl/>
        <w:ind w:firstLine="643" w:firstLineChars="200"/>
        <w:jc w:val="left"/>
        <w:rPr>
          <w:rFonts w:ascii="楷体_GB2312" w:eastAsia="楷体_GB2312"/>
          <w:b/>
          <w:color w:val="000000"/>
          <w:sz w:val="32"/>
          <w:szCs w:val="32"/>
        </w:rPr>
      </w:pPr>
      <w:r>
        <w:rPr>
          <w:rFonts w:hint="eastAsia" w:ascii="楷体_GB2312" w:eastAsia="楷体_GB2312"/>
          <w:b/>
          <w:color w:val="000000"/>
          <w:sz w:val="32"/>
          <w:szCs w:val="32"/>
        </w:rPr>
        <w:t>（一）编制背景</w:t>
      </w:r>
    </w:p>
    <w:p>
      <w:pPr>
        <w:ind w:firstLine="640" w:firstLineChars="200"/>
        <w:rPr>
          <w:rFonts w:hint="eastAsia" w:eastAsia="仿宋_GB2312"/>
          <w:color w:val="000000"/>
          <w:sz w:val="32"/>
          <w:szCs w:val="32"/>
        </w:rPr>
      </w:pPr>
      <w:r>
        <w:rPr>
          <w:rFonts w:hint="eastAsia" w:eastAsia="仿宋_GB2312"/>
          <w:color w:val="000000"/>
          <w:sz w:val="32"/>
          <w:szCs w:val="32"/>
        </w:rPr>
        <w:t>我国畜牧业持续稳定发展，规模化养殖水平显著提高，保障了肉蛋奶供给，但大量养殖废弃物没有得到有效处理和利用，成为农村环境治理的一大难题。抓好畜禽养殖废弃物资源化利用，关系畜产品有效供给，关系农村居民生产生活环境改善，是重大的民生工程。开展畜禽养殖污染防治与种养结合，是农村生态环境治理及人居环境改善的重点和难点所在，对于提升乡村基本公共服务水平、建设美丽宜居乡村、转变农村居民生活方式、推进城乡发展一体化具有重要意义。</w:t>
      </w:r>
    </w:p>
    <w:p>
      <w:pPr>
        <w:ind w:firstLine="640" w:firstLineChars="200"/>
        <w:rPr>
          <w:rFonts w:hint="eastAsia" w:eastAsia="仿宋_GB2312"/>
          <w:color w:val="000000"/>
          <w:sz w:val="32"/>
          <w:szCs w:val="32"/>
        </w:rPr>
      </w:pPr>
      <w:r>
        <w:rPr>
          <w:rFonts w:hint="eastAsia" w:eastAsia="仿宋_GB2312"/>
          <w:color w:val="000000"/>
          <w:sz w:val="32"/>
          <w:szCs w:val="32"/>
        </w:rPr>
        <w:t>为加强畜禽养殖污染防治工作，国家相继出台、修订了《畜禽规模养殖污染防治条例》《农业农村部办公厅 生态环境部办公厅 进一步明确畜禽粪污还田利用要求强化养殖污染监管的通知》等法律法规、文件，指导全国畜禽养殖污染防治工作推进。省、市先后发布修订的《山东省畜禽养殖粪污处理利用实施方案》《山东省加快推进畜禽养殖废弃物资源化利用实施方案》《泰安市“十四五”生态环境保护规划》《泰安市“十四五”农业农村生态环境保护行动方案》等文件也对畜禽养殖污染防治工作提出了明确要求。</w:t>
      </w:r>
    </w:p>
    <w:p>
      <w:pPr>
        <w:ind w:firstLine="640" w:firstLineChars="200"/>
        <w:rPr>
          <w:rFonts w:hint="eastAsia" w:eastAsia="仿宋_GB2312"/>
          <w:color w:val="000000"/>
          <w:sz w:val="32"/>
          <w:szCs w:val="32"/>
        </w:rPr>
      </w:pPr>
      <w:r>
        <w:rPr>
          <w:rFonts w:hint="eastAsia" w:eastAsia="仿宋_GB2312"/>
          <w:color w:val="000000"/>
          <w:sz w:val="32"/>
          <w:szCs w:val="32"/>
        </w:rPr>
        <w:t>为遏制畜禽养殖业对环境造成的污染、提高</w:t>
      </w:r>
      <w:r>
        <w:rPr>
          <w:rFonts w:hint="eastAsia" w:eastAsia="仿宋_GB2312"/>
          <w:color w:val="000000"/>
          <w:sz w:val="32"/>
          <w:szCs w:val="32"/>
          <w:lang w:val="en-US" w:eastAsia="zh-CN"/>
        </w:rPr>
        <w:t>泰山景区</w:t>
      </w:r>
      <w:r>
        <w:rPr>
          <w:rFonts w:hint="eastAsia" w:eastAsia="仿宋_GB2312"/>
          <w:color w:val="000000"/>
          <w:sz w:val="32"/>
          <w:szCs w:val="32"/>
        </w:rPr>
        <w:t>环境质量，必须强化政策引导，加大畜禽养殖业污染防治力度。依据《畜禽规模养殖污染防治条例》“县级以上人民政府环境保护主管部门会同农牧部门编制《畜禽养殖污染防治规划》”要求，编制了《</w:t>
      </w:r>
      <w:r>
        <w:rPr>
          <w:rFonts w:hint="eastAsia" w:eastAsia="仿宋_GB2312"/>
          <w:color w:val="000000"/>
          <w:sz w:val="32"/>
          <w:szCs w:val="32"/>
          <w:lang w:val="en-US" w:eastAsia="zh-CN"/>
        </w:rPr>
        <w:t>泰山景区</w:t>
      </w:r>
      <w:r>
        <w:rPr>
          <w:rFonts w:hint="eastAsia" w:eastAsia="仿宋_GB2312"/>
          <w:color w:val="000000"/>
          <w:sz w:val="32"/>
          <w:szCs w:val="32"/>
        </w:rPr>
        <w:t>畜禽养殖污染防治规划（2021-2025 年）》，作为“十四五”时期</w:t>
      </w:r>
      <w:r>
        <w:rPr>
          <w:rFonts w:hint="eastAsia" w:eastAsia="仿宋_GB2312"/>
          <w:color w:val="000000"/>
          <w:sz w:val="32"/>
          <w:szCs w:val="32"/>
          <w:lang w:val="en-US" w:eastAsia="zh-CN"/>
        </w:rPr>
        <w:t>泰山景区</w:t>
      </w:r>
      <w:r>
        <w:rPr>
          <w:rFonts w:hint="eastAsia" w:eastAsia="仿宋_GB2312"/>
          <w:color w:val="000000"/>
          <w:sz w:val="32"/>
          <w:szCs w:val="32"/>
        </w:rPr>
        <w:t>畜禽养殖污染防治工作的指导性文件。</w:t>
      </w:r>
    </w:p>
    <w:p>
      <w:pPr>
        <w:widowControl/>
        <w:ind w:firstLine="643" w:firstLineChars="200"/>
        <w:jc w:val="left"/>
        <w:rPr>
          <w:rFonts w:ascii="楷体_GB2312" w:eastAsia="楷体_GB2312"/>
          <w:b/>
          <w:color w:val="000000"/>
          <w:sz w:val="32"/>
          <w:szCs w:val="32"/>
        </w:rPr>
      </w:pPr>
      <w:r>
        <w:rPr>
          <w:rFonts w:hint="eastAsia" w:ascii="楷体_GB2312" w:eastAsia="楷体_GB2312"/>
          <w:b/>
          <w:color w:val="000000"/>
          <w:sz w:val="32"/>
          <w:szCs w:val="32"/>
        </w:rPr>
        <w:t xml:space="preserve">（二）编制依据 </w:t>
      </w:r>
    </w:p>
    <w:p>
      <w:pPr>
        <w:widowControl/>
        <w:ind w:firstLine="643" w:firstLineChars="200"/>
        <w:jc w:val="left"/>
        <w:rPr>
          <w:rFonts w:eastAsia="仿宋_GB2312"/>
          <w:b/>
          <w:color w:val="000000"/>
          <w:sz w:val="32"/>
          <w:szCs w:val="32"/>
        </w:rPr>
      </w:pPr>
      <w:r>
        <w:rPr>
          <w:rFonts w:hint="eastAsia" w:eastAsia="仿宋_GB2312"/>
          <w:b/>
          <w:color w:val="000000"/>
          <w:sz w:val="32"/>
          <w:szCs w:val="32"/>
        </w:rPr>
        <w:t xml:space="preserve">1.法律法规： </w:t>
      </w:r>
    </w:p>
    <w:p>
      <w:pPr>
        <w:ind w:firstLine="640" w:firstLineChars="200"/>
        <w:rPr>
          <w:rFonts w:eastAsia="仿宋_GB2312"/>
          <w:color w:val="000000"/>
          <w:sz w:val="32"/>
          <w:szCs w:val="32"/>
        </w:rPr>
      </w:pPr>
      <w:r>
        <w:rPr>
          <w:rFonts w:hint="eastAsia" w:eastAsia="仿宋_GB2312"/>
          <w:color w:val="000000"/>
          <w:sz w:val="32"/>
          <w:szCs w:val="32"/>
        </w:rPr>
        <w:t xml:space="preserve">《中华人民共和国环境保护法》 </w:t>
      </w:r>
    </w:p>
    <w:p>
      <w:pPr>
        <w:ind w:firstLine="640" w:firstLineChars="200"/>
        <w:rPr>
          <w:rFonts w:eastAsia="仿宋_GB2312"/>
          <w:color w:val="000000"/>
          <w:sz w:val="32"/>
          <w:szCs w:val="32"/>
        </w:rPr>
      </w:pPr>
      <w:r>
        <w:rPr>
          <w:rFonts w:hint="eastAsia" w:eastAsia="仿宋_GB2312"/>
          <w:color w:val="000000"/>
          <w:sz w:val="32"/>
          <w:szCs w:val="32"/>
        </w:rPr>
        <w:t xml:space="preserve">《中华人民共和国水污染防治法》 </w:t>
      </w:r>
    </w:p>
    <w:p>
      <w:pPr>
        <w:ind w:firstLine="640" w:firstLineChars="200"/>
        <w:rPr>
          <w:rFonts w:eastAsia="仿宋_GB2312"/>
          <w:color w:val="000000"/>
          <w:sz w:val="32"/>
          <w:szCs w:val="32"/>
        </w:rPr>
      </w:pPr>
      <w:r>
        <w:rPr>
          <w:rFonts w:hint="eastAsia" w:eastAsia="仿宋_GB2312"/>
          <w:color w:val="000000"/>
          <w:sz w:val="32"/>
          <w:szCs w:val="32"/>
        </w:rPr>
        <w:t xml:space="preserve">《中华人民共和国土壤污染防治法》 </w:t>
      </w:r>
    </w:p>
    <w:p>
      <w:pPr>
        <w:ind w:firstLine="640" w:firstLineChars="200"/>
        <w:rPr>
          <w:rFonts w:eastAsia="仿宋_GB2312"/>
          <w:color w:val="000000"/>
          <w:sz w:val="32"/>
          <w:szCs w:val="32"/>
        </w:rPr>
      </w:pPr>
      <w:r>
        <w:rPr>
          <w:rFonts w:hint="eastAsia" w:eastAsia="仿宋_GB2312"/>
          <w:color w:val="000000"/>
          <w:sz w:val="32"/>
          <w:szCs w:val="32"/>
        </w:rPr>
        <w:t xml:space="preserve">《中华人民共和国固体废物污染环境防治法》 </w:t>
      </w:r>
    </w:p>
    <w:p>
      <w:pPr>
        <w:ind w:firstLine="640" w:firstLineChars="200"/>
        <w:rPr>
          <w:rFonts w:eastAsia="仿宋_GB2312"/>
          <w:color w:val="000000"/>
          <w:sz w:val="32"/>
          <w:szCs w:val="32"/>
        </w:rPr>
      </w:pPr>
      <w:r>
        <w:rPr>
          <w:rFonts w:hint="eastAsia" w:eastAsia="仿宋_GB2312"/>
          <w:color w:val="000000"/>
          <w:sz w:val="32"/>
          <w:szCs w:val="32"/>
        </w:rPr>
        <w:t xml:space="preserve">《中华人民共和国农业法》 </w:t>
      </w:r>
    </w:p>
    <w:p>
      <w:pPr>
        <w:ind w:firstLine="640" w:firstLineChars="200"/>
        <w:rPr>
          <w:rFonts w:eastAsia="仿宋_GB2312"/>
          <w:color w:val="000000"/>
          <w:sz w:val="32"/>
          <w:szCs w:val="32"/>
        </w:rPr>
      </w:pPr>
      <w:r>
        <w:rPr>
          <w:rFonts w:hint="eastAsia" w:eastAsia="仿宋_GB2312"/>
          <w:color w:val="000000"/>
          <w:sz w:val="32"/>
          <w:szCs w:val="32"/>
        </w:rPr>
        <w:t xml:space="preserve">《中华人民共和国畜牧法》 </w:t>
      </w:r>
    </w:p>
    <w:p>
      <w:pPr>
        <w:ind w:firstLine="640" w:firstLineChars="200"/>
        <w:rPr>
          <w:rFonts w:eastAsia="仿宋_GB2312"/>
          <w:color w:val="000000"/>
          <w:sz w:val="32"/>
          <w:szCs w:val="32"/>
        </w:rPr>
      </w:pPr>
      <w:r>
        <w:rPr>
          <w:rFonts w:hint="eastAsia" w:eastAsia="仿宋_GB2312"/>
          <w:color w:val="000000"/>
          <w:sz w:val="32"/>
          <w:szCs w:val="32"/>
        </w:rPr>
        <w:t xml:space="preserve">《中华人民共和国清洁生产促进法》 </w:t>
      </w:r>
    </w:p>
    <w:p>
      <w:pPr>
        <w:ind w:firstLine="640" w:firstLineChars="200"/>
        <w:rPr>
          <w:rFonts w:eastAsia="仿宋_GB2312"/>
          <w:color w:val="000000"/>
          <w:sz w:val="32"/>
          <w:szCs w:val="32"/>
        </w:rPr>
      </w:pPr>
      <w:r>
        <w:rPr>
          <w:rFonts w:hint="eastAsia" w:eastAsia="仿宋_GB2312"/>
          <w:color w:val="000000"/>
          <w:sz w:val="32"/>
          <w:szCs w:val="32"/>
        </w:rPr>
        <w:t xml:space="preserve">《中华人民共和国环境影响评价法》 </w:t>
      </w:r>
    </w:p>
    <w:p>
      <w:pPr>
        <w:ind w:firstLine="640" w:firstLineChars="200"/>
        <w:rPr>
          <w:rFonts w:hint="eastAsia" w:eastAsia="仿宋_GB2312"/>
          <w:color w:val="000000"/>
          <w:sz w:val="32"/>
          <w:szCs w:val="32"/>
        </w:rPr>
      </w:pPr>
      <w:r>
        <w:rPr>
          <w:rFonts w:hint="eastAsia" w:eastAsia="仿宋_GB2312"/>
          <w:color w:val="000000"/>
          <w:sz w:val="32"/>
          <w:szCs w:val="32"/>
        </w:rPr>
        <w:t>《畜禽规模养殖污染防治条例》</w:t>
      </w:r>
    </w:p>
    <w:p>
      <w:pPr>
        <w:ind w:firstLine="640" w:firstLineChars="200"/>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山东省环境保护条例</w:t>
      </w:r>
      <w:r>
        <w:rPr>
          <w:rFonts w:hint="eastAsia" w:ascii="Times New Roman" w:hAnsi="Times New Roman" w:eastAsia="仿宋_GB2312" w:cs="Times New Roman"/>
          <w:b w:val="0"/>
          <w:bCs w:val="0"/>
          <w:color w:val="000000"/>
          <w:kern w:val="2"/>
          <w:sz w:val="32"/>
          <w:szCs w:val="32"/>
          <w:lang w:val="en-US" w:eastAsia="zh-CN" w:bidi="ar-SA"/>
        </w:rPr>
        <w:t>》</w:t>
      </w:r>
    </w:p>
    <w:p>
      <w:pPr>
        <w:ind w:firstLine="640" w:firstLineChars="200"/>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山东省</w:t>
      </w:r>
      <w:r>
        <w:rPr>
          <w:rFonts w:hint="eastAsia" w:eastAsia="仿宋_GB2312"/>
          <w:color w:val="000000"/>
          <w:sz w:val="32"/>
          <w:szCs w:val="32"/>
        </w:rPr>
        <w:t>水污染防治</w:t>
      </w:r>
      <w:r>
        <w:rPr>
          <w:rFonts w:hint="eastAsia" w:eastAsia="仿宋_GB2312"/>
          <w:color w:val="000000"/>
          <w:sz w:val="32"/>
          <w:szCs w:val="32"/>
          <w:lang w:eastAsia="zh-CN"/>
        </w:rPr>
        <w:t>条例</w:t>
      </w:r>
      <w:r>
        <w:rPr>
          <w:rFonts w:hint="eastAsia" w:ascii="Times New Roman" w:hAnsi="Times New Roman" w:eastAsia="仿宋_GB2312" w:cs="Times New Roman"/>
          <w:b w:val="0"/>
          <w:bCs w:val="0"/>
          <w:color w:val="000000"/>
          <w:kern w:val="2"/>
          <w:sz w:val="32"/>
          <w:szCs w:val="32"/>
          <w:lang w:val="en-US" w:eastAsia="zh-CN" w:bidi="ar-SA"/>
        </w:rPr>
        <w:t>》</w:t>
      </w:r>
    </w:p>
    <w:p>
      <w:pPr>
        <w:ind w:firstLine="640" w:firstLineChars="200"/>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山东省大气污染防治条例</w:t>
      </w:r>
      <w:r>
        <w:rPr>
          <w:rFonts w:hint="eastAsia" w:ascii="Times New Roman" w:hAnsi="Times New Roman" w:eastAsia="仿宋_GB2312" w:cs="Times New Roman"/>
          <w:b w:val="0"/>
          <w:bCs w:val="0"/>
          <w:color w:val="000000"/>
          <w:kern w:val="2"/>
          <w:sz w:val="32"/>
          <w:szCs w:val="32"/>
          <w:lang w:val="en-US" w:eastAsia="zh-CN" w:bidi="ar-SA"/>
        </w:rPr>
        <w:t>》</w:t>
      </w:r>
    </w:p>
    <w:p>
      <w:pPr>
        <w:ind w:firstLine="640" w:firstLineChars="200"/>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山东省土壤污染防治条例</w:t>
      </w:r>
      <w:r>
        <w:rPr>
          <w:rFonts w:hint="eastAsia" w:ascii="Times New Roman" w:hAnsi="Times New Roman" w:eastAsia="仿宋_GB2312" w:cs="Times New Roman"/>
          <w:b w:val="0"/>
          <w:bCs w:val="0"/>
          <w:color w:val="000000"/>
          <w:kern w:val="2"/>
          <w:sz w:val="32"/>
          <w:szCs w:val="32"/>
          <w:lang w:val="en-US" w:eastAsia="zh-CN" w:bidi="ar-SA"/>
        </w:rPr>
        <w:t>》</w:t>
      </w:r>
    </w:p>
    <w:p>
      <w:pPr>
        <w:widowControl/>
        <w:ind w:firstLine="643" w:firstLineChars="200"/>
        <w:jc w:val="left"/>
        <w:rPr>
          <w:rFonts w:eastAsia="仿宋_GB2312"/>
          <w:b/>
          <w:color w:val="000000"/>
          <w:sz w:val="32"/>
          <w:szCs w:val="32"/>
        </w:rPr>
      </w:pPr>
      <w:r>
        <w:rPr>
          <w:rFonts w:hint="eastAsia" w:eastAsia="仿宋_GB2312"/>
          <w:b/>
          <w:color w:val="000000"/>
          <w:sz w:val="32"/>
          <w:szCs w:val="32"/>
        </w:rPr>
        <w:t xml:space="preserve">2.标准规范： </w:t>
      </w:r>
    </w:p>
    <w:p>
      <w:pPr>
        <w:ind w:firstLine="640" w:firstLineChars="200"/>
        <w:rPr>
          <w:rFonts w:eastAsia="仿宋_GB2312"/>
          <w:color w:val="000000"/>
          <w:sz w:val="32"/>
          <w:szCs w:val="32"/>
        </w:rPr>
      </w:pPr>
      <w:r>
        <w:rPr>
          <w:rFonts w:eastAsia="仿宋_GB2312"/>
          <w:color w:val="000000"/>
          <w:sz w:val="32"/>
          <w:szCs w:val="32"/>
        </w:rPr>
        <w:t xml:space="preserve">GB 5084 </w:t>
      </w:r>
      <w:r>
        <w:rPr>
          <w:rFonts w:hint="eastAsia" w:eastAsia="仿宋_GB2312"/>
          <w:color w:val="000000"/>
          <w:sz w:val="32"/>
          <w:szCs w:val="32"/>
        </w:rPr>
        <w:t xml:space="preserve">农田灌溉水质标准 </w:t>
      </w:r>
    </w:p>
    <w:p>
      <w:pPr>
        <w:ind w:firstLine="640" w:firstLineChars="200"/>
        <w:rPr>
          <w:rFonts w:eastAsia="仿宋_GB2312"/>
          <w:color w:val="000000"/>
          <w:sz w:val="32"/>
          <w:szCs w:val="32"/>
        </w:rPr>
      </w:pPr>
      <w:r>
        <w:rPr>
          <w:rFonts w:eastAsia="仿宋_GB2312"/>
          <w:color w:val="000000"/>
          <w:sz w:val="32"/>
          <w:szCs w:val="32"/>
        </w:rPr>
        <w:t xml:space="preserve">GB 7959 </w:t>
      </w:r>
      <w:r>
        <w:rPr>
          <w:rFonts w:hint="eastAsia" w:eastAsia="仿宋_GB2312"/>
          <w:color w:val="000000"/>
          <w:sz w:val="32"/>
          <w:szCs w:val="32"/>
        </w:rPr>
        <w:t xml:space="preserve">粪便无害化卫生要求 </w:t>
      </w:r>
    </w:p>
    <w:p>
      <w:pPr>
        <w:ind w:firstLine="640" w:firstLineChars="200"/>
        <w:rPr>
          <w:rFonts w:eastAsia="仿宋_GB2312"/>
          <w:color w:val="000000"/>
          <w:sz w:val="32"/>
          <w:szCs w:val="32"/>
        </w:rPr>
      </w:pPr>
      <w:r>
        <w:rPr>
          <w:rFonts w:eastAsia="仿宋_GB2312"/>
          <w:color w:val="000000"/>
          <w:sz w:val="32"/>
          <w:szCs w:val="32"/>
        </w:rPr>
        <w:t xml:space="preserve">GB 15618 </w:t>
      </w:r>
      <w:r>
        <w:rPr>
          <w:rFonts w:hint="eastAsia" w:eastAsia="仿宋_GB2312"/>
          <w:color w:val="000000"/>
          <w:sz w:val="32"/>
          <w:szCs w:val="32"/>
        </w:rPr>
        <w:t>土壤环境质量</w:t>
      </w:r>
      <w:r>
        <w:rPr>
          <w:rFonts w:eastAsia="仿宋_GB2312"/>
          <w:color w:val="000000"/>
          <w:sz w:val="32"/>
          <w:szCs w:val="32"/>
        </w:rPr>
        <w:t>-</w:t>
      </w:r>
      <w:r>
        <w:rPr>
          <w:rFonts w:hint="eastAsia" w:eastAsia="仿宋_GB2312"/>
          <w:color w:val="000000"/>
          <w:sz w:val="32"/>
          <w:szCs w:val="32"/>
        </w:rPr>
        <w:t>农用地土壤污染风险管控标准</w:t>
      </w:r>
      <w:r>
        <w:rPr>
          <w:rFonts w:eastAsia="仿宋_GB2312"/>
          <w:color w:val="000000"/>
          <w:sz w:val="32"/>
          <w:szCs w:val="32"/>
        </w:rPr>
        <w:t>(</w:t>
      </w:r>
      <w:r>
        <w:rPr>
          <w:rFonts w:hint="eastAsia" w:eastAsia="仿宋_GB2312"/>
          <w:color w:val="000000"/>
          <w:sz w:val="32"/>
          <w:szCs w:val="32"/>
        </w:rPr>
        <w:t>试行</w:t>
      </w:r>
      <w:r>
        <w:rPr>
          <w:rFonts w:eastAsia="仿宋_GB2312"/>
          <w:color w:val="000000"/>
          <w:sz w:val="32"/>
          <w:szCs w:val="32"/>
        </w:rPr>
        <w:t xml:space="preserve">) </w:t>
      </w:r>
    </w:p>
    <w:p>
      <w:pPr>
        <w:ind w:firstLine="640" w:firstLineChars="200"/>
        <w:rPr>
          <w:rFonts w:eastAsia="仿宋_GB2312"/>
          <w:color w:val="000000"/>
          <w:sz w:val="32"/>
          <w:szCs w:val="32"/>
        </w:rPr>
      </w:pPr>
      <w:r>
        <w:rPr>
          <w:rFonts w:eastAsia="仿宋_GB2312"/>
          <w:color w:val="000000"/>
          <w:sz w:val="32"/>
          <w:szCs w:val="32"/>
        </w:rPr>
        <w:t xml:space="preserve">GB 18596 </w:t>
      </w:r>
      <w:r>
        <w:rPr>
          <w:rFonts w:hint="eastAsia" w:eastAsia="仿宋_GB2312"/>
          <w:color w:val="000000"/>
          <w:sz w:val="32"/>
          <w:szCs w:val="32"/>
        </w:rPr>
        <w:t xml:space="preserve">畜禽养殖业污染物排放标准 </w:t>
      </w:r>
    </w:p>
    <w:p>
      <w:pPr>
        <w:ind w:firstLine="640" w:firstLineChars="200"/>
        <w:rPr>
          <w:rFonts w:eastAsia="仿宋_GB2312"/>
          <w:color w:val="000000"/>
          <w:sz w:val="32"/>
          <w:szCs w:val="32"/>
        </w:rPr>
      </w:pPr>
      <w:r>
        <w:rPr>
          <w:rFonts w:eastAsia="仿宋_GB2312"/>
          <w:color w:val="000000"/>
          <w:sz w:val="32"/>
          <w:szCs w:val="32"/>
        </w:rPr>
        <w:t xml:space="preserve">GB/T18877 </w:t>
      </w:r>
      <w:r>
        <w:rPr>
          <w:rFonts w:hint="eastAsia" w:eastAsia="仿宋_GB2312"/>
          <w:color w:val="000000"/>
          <w:sz w:val="32"/>
          <w:szCs w:val="32"/>
        </w:rPr>
        <w:t>有机</w:t>
      </w:r>
      <w:r>
        <w:rPr>
          <w:rFonts w:eastAsia="仿宋_GB2312"/>
          <w:color w:val="000000"/>
          <w:sz w:val="32"/>
          <w:szCs w:val="32"/>
        </w:rPr>
        <w:t>-</w:t>
      </w:r>
      <w:r>
        <w:rPr>
          <w:rFonts w:hint="eastAsia" w:eastAsia="仿宋_GB2312"/>
          <w:color w:val="000000"/>
          <w:sz w:val="32"/>
          <w:szCs w:val="32"/>
        </w:rPr>
        <w:t xml:space="preserve">无机复混肥料 </w:t>
      </w:r>
    </w:p>
    <w:p>
      <w:pPr>
        <w:ind w:firstLine="640" w:firstLineChars="200"/>
        <w:rPr>
          <w:rFonts w:eastAsia="仿宋_GB2312"/>
          <w:color w:val="000000"/>
          <w:sz w:val="32"/>
          <w:szCs w:val="32"/>
        </w:rPr>
      </w:pPr>
      <w:r>
        <w:rPr>
          <w:rFonts w:eastAsia="仿宋_GB2312"/>
          <w:color w:val="000000"/>
          <w:sz w:val="32"/>
          <w:szCs w:val="32"/>
        </w:rPr>
        <w:t xml:space="preserve">GB/T 25169 </w:t>
      </w:r>
      <w:r>
        <w:rPr>
          <w:rFonts w:hint="eastAsia" w:eastAsia="仿宋_GB2312"/>
          <w:color w:val="000000"/>
          <w:sz w:val="32"/>
          <w:szCs w:val="32"/>
        </w:rPr>
        <w:t xml:space="preserve">畜禽粪便监测技术规范 </w:t>
      </w:r>
    </w:p>
    <w:p>
      <w:pPr>
        <w:ind w:firstLine="640" w:firstLineChars="200"/>
        <w:rPr>
          <w:rFonts w:eastAsia="仿宋_GB2312"/>
          <w:color w:val="000000"/>
          <w:sz w:val="32"/>
          <w:szCs w:val="32"/>
        </w:rPr>
      </w:pPr>
      <w:r>
        <w:rPr>
          <w:rFonts w:eastAsia="仿宋_GB2312"/>
          <w:color w:val="000000"/>
          <w:sz w:val="32"/>
          <w:szCs w:val="32"/>
        </w:rPr>
        <w:t xml:space="preserve">GB/T 25246 </w:t>
      </w:r>
      <w:r>
        <w:rPr>
          <w:rFonts w:hint="eastAsia" w:eastAsia="仿宋_GB2312"/>
          <w:color w:val="000000"/>
          <w:sz w:val="32"/>
          <w:szCs w:val="32"/>
        </w:rPr>
        <w:t xml:space="preserve">畜禽粪便还田技术规范 </w:t>
      </w:r>
    </w:p>
    <w:p>
      <w:pPr>
        <w:ind w:firstLine="640" w:firstLineChars="200"/>
        <w:rPr>
          <w:rFonts w:eastAsia="仿宋_GB2312"/>
          <w:color w:val="000000"/>
          <w:sz w:val="32"/>
          <w:szCs w:val="32"/>
        </w:rPr>
      </w:pPr>
      <w:r>
        <w:rPr>
          <w:rFonts w:eastAsia="仿宋_GB2312"/>
          <w:color w:val="000000"/>
          <w:sz w:val="32"/>
          <w:szCs w:val="32"/>
        </w:rPr>
        <w:t xml:space="preserve">GB/T 26624 </w:t>
      </w:r>
      <w:r>
        <w:rPr>
          <w:rFonts w:hint="eastAsia" w:eastAsia="仿宋_GB2312"/>
          <w:color w:val="000000"/>
          <w:sz w:val="32"/>
          <w:szCs w:val="32"/>
        </w:rPr>
        <w:t xml:space="preserve">畜禽养殖污水贮存设施设计要求 </w:t>
      </w:r>
    </w:p>
    <w:p>
      <w:pPr>
        <w:ind w:firstLine="640" w:firstLineChars="200"/>
        <w:rPr>
          <w:rFonts w:eastAsia="仿宋_GB2312"/>
          <w:color w:val="000000"/>
          <w:sz w:val="32"/>
          <w:szCs w:val="32"/>
        </w:rPr>
      </w:pPr>
      <w:r>
        <w:rPr>
          <w:rFonts w:eastAsia="仿宋_GB2312"/>
          <w:color w:val="000000"/>
          <w:sz w:val="32"/>
          <w:szCs w:val="32"/>
        </w:rPr>
        <w:t xml:space="preserve">GB/T 27622 </w:t>
      </w:r>
      <w:r>
        <w:rPr>
          <w:rFonts w:hint="eastAsia" w:eastAsia="仿宋_GB2312"/>
          <w:color w:val="000000"/>
          <w:sz w:val="32"/>
          <w:szCs w:val="32"/>
        </w:rPr>
        <w:t xml:space="preserve">畜禽粪便贮存设施设计要求 </w:t>
      </w:r>
    </w:p>
    <w:p>
      <w:pPr>
        <w:ind w:firstLine="640" w:firstLineChars="200"/>
        <w:rPr>
          <w:rFonts w:eastAsia="仿宋_GB2312"/>
          <w:color w:val="000000"/>
          <w:sz w:val="32"/>
          <w:szCs w:val="32"/>
        </w:rPr>
      </w:pPr>
      <w:r>
        <w:rPr>
          <w:rFonts w:eastAsia="仿宋_GB2312"/>
          <w:color w:val="000000"/>
          <w:sz w:val="32"/>
          <w:szCs w:val="32"/>
        </w:rPr>
        <w:t xml:space="preserve">GB/T 36195 </w:t>
      </w:r>
      <w:r>
        <w:rPr>
          <w:rFonts w:hint="eastAsia" w:eastAsia="仿宋_GB2312"/>
          <w:color w:val="000000"/>
          <w:sz w:val="32"/>
          <w:szCs w:val="32"/>
        </w:rPr>
        <w:t xml:space="preserve">畜禽粪便无害化处理技术规范 </w:t>
      </w:r>
    </w:p>
    <w:p>
      <w:pPr>
        <w:ind w:firstLine="640" w:firstLineChars="200"/>
        <w:rPr>
          <w:rFonts w:eastAsia="仿宋_GB2312"/>
          <w:color w:val="000000"/>
          <w:sz w:val="32"/>
          <w:szCs w:val="32"/>
        </w:rPr>
      </w:pPr>
      <w:r>
        <w:rPr>
          <w:rFonts w:eastAsia="仿宋_GB2312"/>
          <w:color w:val="000000"/>
          <w:sz w:val="32"/>
          <w:szCs w:val="32"/>
        </w:rPr>
        <w:t xml:space="preserve">HJ 497 </w:t>
      </w:r>
      <w:r>
        <w:rPr>
          <w:rFonts w:hint="eastAsia" w:eastAsia="仿宋_GB2312"/>
          <w:color w:val="000000"/>
          <w:sz w:val="32"/>
          <w:szCs w:val="32"/>
        </w:rPr>
        <w:t xml:space="preserve">畜禽养殖业污染治理工程技术规范 </w:t>
      </w:r>
    </w:p>
    <w:p>
      <w:pPr>
        <w:ind w:firstLine="640" w:firstLineChars="200"/>
        <w:rPr>
          <w:rFonts w:eastAsia="仿宋_GB2312"/>
          <w:color w:val="000000"/>
          <w:sz w:val="32"/>
          <w:szCs w:val="32"/>
        </w:rPr>
      </w:pPr>
      <w:r>
        <w:rPr>
          <w:rFonts w:eastAsia="仿宋_GB2312"/>
          <w:color w:val="000000"/>
          <w:sz w:val="32"/>
          <w:szCs w:val="32"/>
        </w:rPr>
        <w:t xml:space="preserve">HJ 1029 </w:t>
      </w:r>
      <w:r>
        <w:rPr>
          <w:rFonts w:hint="eastAsia" w:eastAsia="仿宋_GB2312"/>
          <w:color w:val="000000"/>
          <w:sz w:val="32"/>
          <w:szCs w:val="32"/>
        </w:rPr>
        <w:t xml:space="preserve">排污许可证申请与核发技术规范 畜禽养殖行业 </w:t>
      </w:r>
    </w:p>
    <w:p>
      <w:pPr>
        <w:ind w:firstLine="640" w:firstLineChars="200"/>
        <w:rPr>
          <w:rFonts w:eastAsia="仿宋_GB2312"/>
          <w:color w:val="000000"/>
          <w:sz w:val="32"/>
          <w:szCs w:val="32"/>
        </w:rPr>
      </w:pPr>
      <w:r>
        <w:rPr>
          <w:rFonts w:eastAsia="仿宋_GB2312"/>
          <w:color w:val="000000"/>
          <w:sz w:val="32"/>
          <w:szCs w:val="32"/>
        </w:rPr>
        <w:t xml:space="preserve">HJ/T 81 </w:t>
      </w:r>
      <w:r>
        <w:rPr>
          <w:rFonts w:hint="eastAsia" w:eastAsia="仿宋_GB2312"/>
          <w:color w:val="000000"/>
          <w:sz w:val="32"/>
          <w:szCs w:val="32"/>
        </w:rPr>
        <w:t xml:space="preserve">畜禽养殖业污染防治技术规范 </w:t>
      </w:r>
    </w:p>
    <w:p>
      <w:pPr>
        <w:ind w:firstLine="640" w:firstLineChars="200"/>
        <w:rPr>
          <w:rFonts w:eastAsia="仿宋_GB2312"/>
          <w:color w:val="000000"/>
          <w:sz w:val="32"/>
          <w:szCs w:val="32"/>
        </w:rPr>
      </w:pPr>
      <w:r>
        <w:rPr>
          <w:rFonts w:eastAsia="仿宋_GB2312"/>
          <w:color w:val="000000"/>
          <w:sz w:val="32"/>
          <w:szCs w:val="32"/>
        </w:rPr>
        <w:t xml:space="preserve">NY525 </w:t>
      </w:r>
      <w:r>
        <w:rPr>
          <w:rFonts w:hint="eastAsia" w:eastAsia="仿宋_GB2312"/>
          <w:color w:val="000000"/>
          <w:sz w:val="32"/>
          <w:szCs w:val="32"/>
        </w:rPr>
        <w:t xml:space="preserve">有机肥料 </w:t>
      </w:r>
    </w:p>
    <w:p>
      <w:pPr>
        <w:ind w:firstLine="640" w:firstLineChars="200"/>
        <w:rPr>
          <w:rFonts w:eastAsia="仿宋_GB2312"/>
          <w:color w:val="000000"/>
          <w:sz w:val="32"/>
          <w:szCs w:val="32"/>
        </w:rPr>
      </w:pPr>
      <w:r>
        <w:rPr>
          <w:rFonts w:eastAsia="仿宋_GB2312"/>
          <w:color w:val="000000"/>
          <w:sz w:val="32"/>
          <w:szCs w:val="32"/>
        </w:rPr>
        <w:t xml:space="preserve">NY/T 1169 </w:t>
      </w:r>
      <w:r>
        <w:rPr>
          <w:rFonts w:hint="eastAsia" w:eastAsia="仿宋_GB2312"/>
          <w:color w:val="000000"/>
          <w:sz w:val="32"/>
          <w:szCs w:val="32"/>
        </w:rPr>
        <w:t xml:space="preserve">畜禽场环境污染控制技术规范 </w:t>
      </w:r>
    </w:p>
    <w:p>
      <w:pPr>
        <w:ind w:firstLine="640" w:firstLineChars="200"/>
        <w:rPr>
          <w:rFonts w:eastAsia="仿宋_GB2312"/>
          <w:color w:val="000000"/>
          <w:sz w:val="32"/>
          <w:szCs w:val="32"/>
        </w:rPr>
      </w:pPr>
      <w:r>
        <w:rPr>
          <w:rFonts w:eastAsia="仿宋_GB2312"/>
          <w:color w:val="000000"/>
          <w:sz w:val="32"/>
          <w:szCs w:val="32"/>
        </w:rPr>
        <w:t xml:space="preserve">NY/T 2065 </w:t>
      </w:r>
      <w:r>
        <w:rPr>
          <w:rFonts w:hint="eastAsia" w:eastAsia="仿宋_GB2312"/>
          <w:color w:val="000000"/>
          <w:sz w:val="32"/>
          <w:szCs w:val="32"/>
        </w:rPr>
        <w:t xml:space="preserve">沼肥施用技术规范 </w:t>
      </w:r>
    </w:p>
    <w:p>
      <w:pPr>
        <w:ind w:firstLine="640" w:firstLineChars="200"/>
        <w:rPr>
          <w:rFonts w:eastAsia="仿宋_GB2312"/>
          <w:color w:val="000000"/>
          <w:sz w:val="32"/>
          <w:szCs w:val="32"/>
        </w:rPr>
      </w:pPr>
      <w:r>
        <w:rPr>
          <w:rFonts w:hint="eastAsia" w:eastAsia="仿宋_GB2312"/>
          <w:color w:val="000000"/>
          <w:sz w:val="32"/>
          <w:szCs w:val="32"/>
        </w:rPr>
        <w:t xml:space="preserve">《畜禽规模养殖场粪污资源化利用设施建设规范（试行）》 </w:t>
      </w:r>
    </w:p>
    <w:p>
      <w:pPr>
        <w:widowControl/>
        <w:numPr>
          <w:ilvl w:val="0"/>
          <w:numId w:val="1"/>
        </w:numPr>
        <w:ind w:firstLine="643" w:firstLineChars="200"/>
        <w:jc w:val="left"/>
        <w:rPr>
          <w:rFonts w:ascii="Times New Roman" w:hAnsi="Times New Roman" w:eastAsia="仿宋_GB2312" w:cs="Times New Roman"/>
          <w:b w:val="0"/>
          <w:bCs w:val="0"/>
          <w:color w:val="000000"/>
          <w:kern w:val="2"/>
          <w:sz w:val="32"/>
          <w:szCs w:val="32"/>
          <w:lang w:val="en-US" w:eastAsia="zh-CN" w:bidi="ar-SA"/>
        </w:rPr>
      </w:pPr>
      <w:r>
        <w:rPr>
          <w:rFonts w:hint="eastAsia" w:eastAsia="仿宋_GB2312"/>
          <w:b/>
          <w:color w:val="000000"/>
          <w:sz w:val="32"/>
          <w:szCs w:val="32"/>
        </w:rPr>
        <w:t>政策文件：</w:t>
      </w:r>
    </w:p>
    <w:p>
      <w:pPr>
        <w:widowControl/>
        <w:numPr>
          <w:ilvl w:val="0"/>
          <w:numId w:val="0"/>
        </w:numPr>
        <w:ind w:firstLine="640" w:firstLineChars="200"/>
        <w:jc w:val="left"/>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《国务院办公厅关于促进畜牧业高质量发展的意见》</w:t>
      </w:r>
    </w:p>
    <w:p>
      <w:pPr>
        <w:widowControl/>
        <w:numPr>
          <w:ilvl w:val="0"/>
          <w:numId w:val="0"/>
        </w:numPr>
        <w:ind w:firstLine="640" w:firstLineChars="200"/>
        <w:jc w:val="left"/>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《国务院办公厅 关于加快推进畜禽养殖废弃物资源化利用意见》</w:t>
      </w:r>
    </w:p>
    <w:p>
      <w:pPr>
        <w:widowControl/>
        <w:numPr>
          <w:ilvl w:val="0"/>
          <w:numId w:val="0"/>
        </w:numPr>
        <w:ind w:firstLine="640" w:firstLineChars="200"/>
        <w:jc w:val="left"/>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农业农村部办公厅 财政部办公厅 关于做好2020年畜禽粪污资源化利用工作的通知</w:t>
      </w:r>
      <w:r>
        <w:rPr>
          <w:rFonts w:hint="eastAsia" w:ascii="Times New Roman" w:hAnsi="Times New Roman" w:eastAsia="仿宋_GB2312" w:cs="Times New Roman"/>
          <w:b w:val="0"/>
          <w:bCs w:val="0"/>
          <w:color w:val="000000"/>
          <w:kern w:val="2"/>
          <w:sz w:val="32"/>
          <w:szCs w:val="32"/>
          <w:lang w:val="en-US" w:eastAsia="zh-CN" w:bidi="ar-SA"/>
        </w:rPr>
        <w:t>》</w:t>
      </w:r>
    </w:p>
    <w:p>
      <w:pPr>
        <w:widowControl/>
        <w:numPr>
          <w:ilvl w:val="0"/>
          <w:numId w:val="0"/>
        </w:numPr>
        <w:ind w:firstLine="640" w:firstLineChars="200"/>
        <w:jc w:val="left"/>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农业农村部办公厅 生态环境部办公厅 进一步明确畜禽粪污还田利用要求强化养殖污染监管的通知</w:t>
      </w:r>
      <w:r>
        <w:rPr>
          <w:rFonts w:hint="eastAsia" w:ascii="Times New Roman" w:hAnsi="Times New Roman" w:eastAsia="仿宋_GB2312" w:cs="Times New Roman"/>
          <w:b w:val="0"/>
          <w:bCs w:val="0"/>
          <w:color w:val="000000"/>
          <w:kern w:val="2"/>
          <w:sz w:val="32"/>
          <w:szCs w:val="32"/>
          <w:lang w:val="en-US" w:eastAsia="zh-CN" w:bidi="ar-SA"/>
        </w:rPr>
        <w:t>》</w:t>
      </w:r>
    </w:p>
    <w:p>
      <w:pPr>
        <w:widowControl/>
        <w:numPr>
          <w:ilvl w:val="0"/>
          <w:numId w:val="0"/>
        </w:numPr>
        <w:ind w:firstLine="640" w:firstLineChars="200"/>
        <w:jc w:val="left"/>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关于进一步做好畜禽养殖污染防治工作促进畜牧业绿色健康发展的通知</w:t>
      </w:r>
      <w:r>
        <w:rPr>
          <w:rFonts w:hint="eastAsia" w:ascii="Times New Roman" w:hAnsi="Times New Roman" w:eastAsia="仿宋_GB2312" w:cs="Times New Roman"/>
          <w:b w:val="0"/>
          <w:bCs w:val="0"/>
          <w:color w:val="000000"/>
          <w:kern w:val="2"/>
          <w:sz w:val="32"/>
          <w:szCs w:val="32"/>
          <w:lang w:val="en-US" w:eastAsia="zh-CN" w:bidi="ar-SA"/>
        </w:rPr>
        <w:t>》</w:t>
      </w:r>
    </w:p>
    <w:p>
      <w:pPr>
        <w:widowControl/>
        <w:numPr>
          <w:ilvl w:val="0"/>
          <w:numId w:val="0"/>
        </w:numPr>
        <w:ind w:left="638" w:leftChars="304" w:firstLine="0" w:firstLineChars="0"/>
        <w:jc w:val="left"/>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山东省加快推进畜禽养殖废弃物资源化利用实施方案</w:t>
      </w: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关于加强畜禽养殖污染防治工作的通知</w:t>
      </w:r>
      <w:r>
        <w:rPr>
          <w:rFonts w:hint="eastAsia" w:ascii="Times New Roman" w:hAnsi="Times New Roman" w:eastAsia="仿宋_GB2312" w:cs="Times New Roman"/>
          <w:b w:val="0"/>
          <w:bCs w:val="0"/>
          <w:color w:val="000000"/>
          <w:kern w:val="2"/>
          <w:sz w:val="32"/>
          <w:szCs w:val="32"/>
          <w:lang w:val="en-US" w:eastAsia="zh-CN" w:bidi="ar-SA"/>
        </w:rPr>
        <w:t>》</w:t>
      </w:r>
    </w:p>
    <w:p>
      <w:pPr>
        <w:widowControl/>
        <w:numPr>
          <w:ilvl w:val="0"/>
          <w:numId w:val="0"/>
        </w:numPr>
        <w:ind w:left="638" w:leftChars="304" w:firstLine="0" w:firstLineChars="0"/>
        <w:jc w:val="left"/>
        <w:rPr>
          <w:rFonts w:eastAsia="仿宋_GB2312"/>
          <w:b/>
          <w:color w:val="000000"/>
          <w:sz w:val="32"/>
          <w:szCs w:val="32"/>
        </w:rPr>
      </w:pPr>
      <w:r>
        <w:rPr>
          <w:rFonts w:hint="eastAsia" w:eastAsia="仿宋_GB2312"/>
          <w:b/>
          <w:color w:val="000000"/>
          <w:sz w:val="32"/>
          <w:szCs w:val="32"/>
        </w:rPr>
        <w:t xml:space="preserve">4.相关规划： </w:t>
      </w:r>
    </w:p>
    <w:p>
      <w:pPr>
        <w:widowControl/>
        <w:ind w:firstLine="640" w:firstLineChars="200"/>
        <w:jc w:val="left"/>
        <w:rPr>
          <w:rFonts w:hint="eastAsia" w:ascii="Times New Roman" w:hAnsi="Times New Roman" w:eastAsia="仿宋_GB2312" w:cs="Times New Roman"/>
          <w:b w:val="0"/>
          <w:bCs w:val="0"/>
          <w:color w:val="000000"/>
          <w:kern w:val="2"/>
          <w:sz w:val="32"/>
          <w:szCs w:val="32"/>
          <w:lang w:val="en-US" w:eastAsia="zh-CN" w:bidi="ar-SA"/>
        </w:rPr>
      </w:pPr>
      <w:bookmarkStart w:id="7" w:name="_Toc14699585"/>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关于印发&lt;泰安市加强畜禽粪污资源化利用推进新一轮“四减四增”三年行动方案&gt;的通知</w:t>
      </w:r>
      <w:r>
        <w:rPr>
          <w:rFonts w:hint="eastAsia" w:ascii="Times New Roman" w:hAnsi="Times New Roman" w:eastAsia="仿宋_GB2312" w:cs="Times New Roman"/>
          <w:b w:val="0"/>
          <w:bCs w:val="0"/>
          <w:color w:val="000000"/>
          <w:kern w:val="2"/>
          <w:sz w:val="32"/>
          <w:szCs w:val="32"/>
          <w:lang w:val="en-US" w:eastAsia="zh-CN" w:bidi="ar-SA"/>
        </w:rPr>
        <w:t>》</w:t>
      </w:r>
    </w:p>
    <w:p>
      <w:pPr>
        <w:widowControl/>
        <w:ind w:firstLine="640" w:firstLineChars="200"/>
        <w:jc w:val="left"/>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泰安市畜牧兽医局 泰安市畜牧兽医事业服务中心 关于印发&lt;泰安市畜牧业“十四五”发展规划&gt;的通知</w:t>
      </w:r>
      <w:r>
        <w:rPr>
          <w:rFonts w:hint="eastAsia" w:ascii="Times New Roman" w:hAnsi="Times New Roman" w:eastAsia="仿宋_GB2312" w:cs="Times New Roman"/>
          <w:b w:val="0"/>
          <w:bCs w:val="0"/>
          <w:color w:val="000000"/>
          <w:kern w:val="2"/>
          <w:sz w:val="32"/>
          <w:szCs w:val="32"/>
          <w:lang w:val="en-US" w:eastAsia="zh-CN" w:bidi="ar-SA"/>
        </w:rPr>
        <w:t>》</w:t>
      </w:r>
    </w:p>
    <w:p>
      <w:pPr>
        <w:widowControl/>
        <w:ind w:firstLine="640" w:firstLineChars="200"/>
        <w:jc w:val="left"/>
        <w:rPr>
          <w:rFonts w:hint="eastAsia" w:ascii="黑体" w:hAnsi="黑体" w:eastAsia="黑体"/>
          <w:color w:val="000000"/>
          <w:sz w:val="32"/>
          <w:szCs w:val="32"/>
        </w:rPr>
      </w:pP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泰安市泰山风景名胜区畜禽养殖禁养区划定调整方案</w:t>
      </w:r>
      <w:r>
        <w:rPr>
          <w:rFonts w:hint="eastAsia" w:ascii="Times New Roman" w:hAnsi="Times New Roman" w:eastAsia="仿宋_GB2312" w:cs="Times New Roman"/>
          <w:b w:val="0"/>
          <w:bCs w:val="0"/>
          <w:color w:val="000000"/>
          <w:kern w:val="2"/>
          <w:sz w:val="32"/>
          <w:szCs w:val="32"/>
          <w:lang w:val="en-US" w:eastAsia="zh-CN" w:bidi="ar-SA"/>
        </w:rPr>
        <w:t>》</w:t>
      </w:r>
      <w:bookmarkEnd w:id="7"/>
    </w:p>
    <w:p>
      <w:pPr>
        <w:widowControl/>
        <w:ind w:firstLine="640" w:firstLineChars="200"/>
        <w:jc w:val="left"/>
        <w:outlineLvl w:val="0"/>
        <w:rPr>
          <w:rFonts w:ascii="黑体" w:hAnsi="黑体" w:eastAsia="黑体"/>
          <w:color w:val="000000"/>
          <w:sz w:val="32"/>
          <w:szCs w:val="32"/>
        </w:rPr>
      </w:pPr>
      <w:bookmarkStart w:id="8" w:name="_Toc2172"/>
      <w:bookmarkStart w:id="9" w:name="_Toc6217"/>
      <w:r>
        <w:rPr>
          <w:rFonts w:hint="eastAsia" w:ascii="黑体" w:hAnsi="黑体" w:eastAsia="黑体"/>
          <w:color w:val="000000"/>
          <w:sz w:val="32"/>
          <w:szCs w:val="32"/>
        </w:rPr>
        <w:t>二、区域概况和畜禽养殖业现状</w:t>
      </w:r>
      <w:bookmarkEnd w:id="8"/>
      <w:bookmarkEnd w:id="9"/>
    </w:p>
    <w:p>
      <w:pPr>
        <w:widowControl/>
        <w:ind w:firstLine="643" w:firstLineChars="200"/>
        <w:jc w:val="left"/>
        <w:rPr>
          <w:rFonts w:ascii="楷体_GB2312" w:eastAsia="楷体_GB2312"/>
          <w:b/>
          <w:color w:val="000000"/>
          <w:sz w:val="32"/>
          <w:szCs w:val="32"/>
        </w:rPr>
      </w:pPr>
      <w:bookmarkStart w:id="10" w:name="_Toc14699587"/>
      <w:r>
        <w:rPr>
          <w:rFonts w:hint="eastAsia" w:ascii="楷体_GB2312" w:eastAsia="楷体_GB2312"/>
          <w:b/>
          <w:color w:val="000000"/>
          <w:sz w:val="32"/>
          <w:szCs w:val="32"/>
        </w:rPr>
        <w:t>（一）区域概况</w:t>
      </w:r>
    </w:p>
    <w:bookmarkEnd w:id="10"/>
    <w:p>
      <w:pPr>
        <w:ind w:firstLine="643" w:firstLineChars="200"/>
        <w:rPr>
          <w:rFonts w:eastAsia="仿宋_GB2312"/>
          <w:b/>
          <w:color w:val="000000"/>
          <w:sz w:val="32"/>
          <w:szCs w:val="32"/>
        </w:rPr>
      </w:pPr>
      <w:r>
        <w:rPr>
          <w:rFonts w:hint="eastAsia" w:eastAsia="仿宋_GB2312"/>
          <w:b/>
          <w:color w:val="000000"/>
          <w:sz w:val="32"/>
          <w:szCs w:val="32"/>
        </w:rPr>
        <w:t>1.</w:t>
      </w:r>
      <w:r>
        <w:rPr>
          <w:rFonts w:hint="eastAsia" w:ascii="楷体_GB2312" w:eastAsia="楷体_GB2312"/>
          <w:b/>
          <w:color w:val="000000"/>
          <w:sz w:val="32"/>
          <w:szCs w:val="32"/>
        </w:rPr>
        <w:t>地理位置</w:t>
      </w:r>
    </w:p>
    <w:p>
      <w:pPr>
        <w:spacing w:line="360" w:lineRule="auto"/>
        <w:ind w:firstLine="640" w:firstLineChars="200"/>
        <w:jc w:val="left"/>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泰安市泰山风景名胜区管理区域位于泰安市中部和东北部，北依泰山，东西南三面与泰安市岱岳区和泰山区搭界，北部与济南</w:t>
      </w:r>
      <w:r>
        <w:rPr>
          <w:rFonts w:hint="eastAsia" w:ascii="Times New Roman" w:hAnsi="Times New Roman" w:eastAsia="仿宋_GB2312" w:cs="Times New Roman"/>
          <w:b w:val="0"/>
          <w:bCs w:val="0"/>
          <w:color w:val="000000"/>
          <w:kern w:val="2"/>
          <w:sz w:val="32"/>
          <w:szCs w:val="32"/>
          <w:lang w:val="en-US" w:eastAsia="zh-CN" w:bidi="ar-SA"/>
        </w:rPr>
        <w:fldChar w:fldCharType="begin"/>
      </w:r>
      <w:r>
        <w:rPr>
          <w:rFonts w:hint="eastAsia" w:ascii="Times New Roman" w:hAnsi="Times New Roman" w:eastAsia="仿宋_GB2312" w:cs="Times New Roman"/>
          <w:b w:val="0"/>
          <w:bCs w:val="0"/>
          <w:color w:val="000000"/>
          <w:kern w:val="2"/>
          <w:sz w:val="32"/>
          <w:szCs w:val="32"/>
          <w:lang w:val="en-US" w:eastAsia="zh-CN" w:bidi="ar-SA"/>
        </w:rPr>
        <w:instrText xml:space="preserve"> HYPERLINK "https://baike.baidu.com/item/%E9%95%BF%E6%B8%85%E5%8C%BA" \t "https://baike.baidu.com/item/%E6%B3%B0%E5%B1%B1%E5%8C%BA/_blank" </w:instrText>
      </w:r>
      <w:r>
        <w:rPr>
          <w:rFonts w:hint="eastAsia" w:ascii="Times New Roman" w:hAnsi="Times New Roman" w:eastAsia="仿宋_GB2312" w:cs="Times New Roman"/>
          <w:b w:val="0"/>
          <w:bCs w:val="0"/>
          <w:color w:val="000000"/>
          <w:kern w:val="2"/>
          <w:sz w:val="32"/>
          <w:szCs w:val="32"/>
          <w:lang w:val="en-US" w:eastAsia="zh-CN" w:bidi="ar-SA"/>
        </w:rPr>
        <w:fldChar w:fldCharType="separate"/>
      </w:r>
      <w:r>
        <w:rPr>
          <w:rFonts w:hint="eastAsia" w:ascii="Times New Roman" w:hAnsi="Times New Roman" w:eastAsia="仿宋_GB2312" w:cs="Times New Roman"/>
          <w:b w:val="0"/>
          <w:bCs w:val="0"/>
          <w:color w:val="000000"/>
          <w:kern w:val="2"/>
          <w:sz w:val="32"/>
          <w:szCs w:val="32"/>
          <w:lang w:val="en-US" w:eastAsia="zh-CN" w:bidi="ar-SA"/>
        </w:rPr>
        <w:t>长清区</w:t>
      </w:r>
      <w:r>
        <w:rPr>
          <w:rFonts w:hint="eastAsia" w:ascii="Times New Roman" w:hAnsi="Times New Roman" w:eastAsia="仿宋_GB2312" w:cs="Times New Roman"/>
          <w:b w:val="0"/>
          <w:bCs w:val="0"/>
          <w:color w:val="000000"/>
          <w:kern w:val="2"/>
          <w:sz w:val="32"/>
          <w:szCs w:val="32"/>
          <w:lang w:val="en-US" w:eastAsia="zh-CN" w:bidi="ar-SA"/>
        </w:rPr>
        <w:fldChar w:fldCharType="end"/>
      </w:r>
      <w:r>
        <w:rPr>
          <w:rFonts w:hint="eastAsia" w:ascii="Times New Roman" w:hAnsi="Times New Roman" w:eastAsia="仿宋_GB2312" w:cs="Times New Roman"/>
          <w:b w:val="0"/>
          <w:bCs w:val="0"/>
          <w:color w:val="000000"/>
          <w:kern w:val="2"/>
          <w:sz w:val="32"/>
          <w:szCs w:val="32"/>
          <w:lang w:val="en-US" w:eastAsia="zh-CN" w:bidi="ar-SA"/>
        </w:rPr>
        <w:t>市历城区毗连，地理坐标为北纬36°15′～36°28′，东经117°03′～117°23′。2017年3月，原岱岳区黄前镇、下港镇、黄前水库管理运营机构划归泰山风景名胜区管理委员会代管后，泰山风景名胜区管理委员会管理区域由192平方公里拓展到452平方公里。泰山景区地理位置见图2-1，泰山景区管理区域图2-2。</w:t>
      </w:r>
    </w:p>
    <w:p>
      <w:pPr>
        <w:pStyle w:val="2"/>
        <w:outlineLvl w:val="9"/>
        <w:rPr>
          <w:rFonts w:hint="eastAsia" w:ascii="楷体" w:hAnsi="楷体" w:eastAsia="楷体" w:cs="楷体"/>
          <w:sz w:val="28"/>
          <w:szCs w:val="18"/>
        </w:rPr>
      </w:pPr>
      <w:r>
        <w:rPr>
          <w:rFonts w:hint="eastAsia" w:ascii="楷体" w:hAnsi="楷体" w:eastAsia="楷体" w:cs="楷体"/>
          <w:sz w:val="28"/>
          <w:szCs w:val="18"/>
        </w:rPr>
        <w:drawing>
          <wp:inline distT="0" distB="0" distL="114300" distR="114300">
            <wp:extent cx="5671820" cy="3362960"/>
            <wp:effectExtent l="9525" t="9525" r="14605" b="18415"/>
            <wp:docPr id="1" name="图片 1" descr="C:\Users\19063\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9063\Desktop\图片1.png图片1"/>
                    <pic:cNvPicPr>
                      <a:picLocks noChangeAspect="1"/>
                    </pic:cNvPicPr>
                  </pic:nvPicPr>
                  <pic:blipFill>
                    <a:blip r:embed="rId6"/>
                    <a:stretch>
                      <a:fillRect/>
                    </a:stretch>
                  </pic:blipFill>
                  <pic:spPr>
                    <a:xfrm>
                      <a:off x="0" y="0"/>
                      <a:ext cx="5671820" cy="3362960"/>
                    </a:xfrm>
                    <a:prstGeom prst="rect">
                      <a:avLst/>
                    </a:prstGeom>
                    <a:noFill/>
                    <a:ln w="1270" cap="flat" cmpd="sng">
                      <a:solidFill>
                        <a:srgbClr val="000000"/>
                      </a:solidFill>
                      <a:prstDash val="solid"/>
                      <a:miter/>
                      <a:headEnd type="none" w="med" len="med"/>
                      <a:tailEnd type="none" w="med" len="med"/>
                    </a:ln>
                  </pic:spPr>
                </pic:pic>
              </a:graphicData>
            </a:graphic>
          </wp:inline>
        </w:drawing>
      </w:r>
    </w:p>
    <w:p>
      <w:pPr>
        <w:spacing w:line="360" w:lineRule="auto"/>
        <w:jc w:val="center"/>
        <w:rPr>
          <w:rFonts w:hint="eastAsia" w:ascii="楷体" w:hAnsi="楷体" w:eastAsia="楷体" w:cs="楷体"/>
          <w:sz w:val="28"/>
          <w:szCs w:val="18"/>
        </w:rPr>
      </w:pPr>
      <w:r>
        <w:rPr>
          <w:b/>
          <w:bCs/>
          <w:sz w:val="24"/>
          <w:szCs w:val="16"/>
        </w:rPr>
        <w:t xml:space="preserve">图2-1 </w:t>
      </w:r>
      <w:r>
        <w:rPr>
          <w:rFonts w:hint="eastAsia"/>
          <w:b/>
          <w:bCs/>
          <w:sz w:val="24"/>
          <w:szCs w:val="16"/>
        </w:rPr>
        <w:t>泰山景区</w:t>
      </w:r>
      <w:r>
        <w:rPr>
          <w:b/>
          <w:bCs/>
          <w:sz w:val="24"/>
          <w:szCs w:val="16"/>
        </w:rPr>
        <w:t>地理位置</w:t>
      </w:r>
    </w:p>
    <w:p/>
    <w:p>
      <w:pPr>
        <w:pStyle w:val="2"/>
        <w:outlineLvl w:val="9"/>
      </w:pPr>
      <w:r>
        <w:rPr>
          <w:rFonts w:hint="eastAsia" w:eastAsia="楷体"/>
          <w:kern w:val="2"/>
          <w:sz w:val="28"/>
          <w:szCs w:val="18"/>
          <w:lang w:val="en-US" w:eastAsia="zh-CN"/>
        </w:rPr>
        <w:drawing>
          <wp:inline distT="0" distB="0" distL="114300" distR="114300">
            <wp:extent cx="5269865" cy="7363460"/>
            <wp:effectExtent l="0" t="0" r="6985" b="8890"/>
            <wp:docPr id="2" name="图片 2" descr="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11"/>
                    <pic:cNvPicPr>
                      <a:picLocks noChangeAspect="1"/>
                    </pic:cNvPicPr>
                  </pic:nvPicPr>
                  <pic:blipFill>
                    <a:blip r:embed="rId7"/>
                    <a:stretch>
                      <a:fillRect/>
                    </a:stretch>
                  </pic:blipFill>
                  <pic:spPr>
                    <a:xfrm>
                      <a:off x="0" y="0"/>
                      <a:ext cx="5269865" cy="7363460"/>
                    </a:xfrm>
                    <a:prstGeom prst="rect">
                      <a:avLst/>
                    </a:prstGeom>
                    <a:noFill/>
                    <a:ln>
                      <a:noFill/>
                    </a:ln>
                  </pic:spPr>
                </pic:pic>
              </a:graphicData>
            </a:graphic>
          </wp:inline>
        </w:drawing>
      </w:r>
    </w:p>
    <w:p>
      <w:pPr>
        <w:spacing w:line="360" w:lineRule="auto"/>
        <w:jc w:val="center"/>
        <w:rPr>
          <w:rFonts w:hint="eastAsia"/>
          <w:b/>
          <w:bCs/>
          <w:sz w:val="24"/>
          <w:szCs w:val="16"/>
        </w:rPr>
      </w:pPr>
      <w:r>
        <w:rPr>
          <w:rFonts w:hint="eastAsia"/>
          <w:b/>
          <w:bCs/>
          <w:sz w:val="24"/>
          <w:szCs w:val="16"/>
        </w:rPr>
        <w:t>图2-2 泰山景区管理区域</w:t>
      </w:r>
    </w:p>
    <w:p>
      <w:pPr>
        <w:pStyle w:val="2"/>
        <w:spacing w:before="0" w:after="0" w:line="460" w:lineRule="exact"/>
        <w:outlineLvl w:val="9"/>
        <w:rPr>
          <w:rFonts w:hint="eastAsia" w:ascii="楷体_GB2312" w:hAnsi="Times New Roman" w:eastAsia="楷体_GB2312" w:cs="Times New Roman"/>
          <w:b/>
          <w:bCs w:val="0"/>
          <w:color w:val="000000"/>
          <w:kern w:val="2"/>
          <w:sz w:val="32"/>
          <w:szCs w:val="32"/>
          <w:lang w:val="en-US" w:eastAsia="zh-CN" w:bidi="ar-SA"/>
        </w:rPr>
      </w:pPr>
    </w:p>
    <w:p>
      <w:pPr>
        <w:pStyle w:val="2"/>
        <w:spacing w:before="0" w:after="0" w:line="460" w:lineRule="exact"/>
        <w:ind w:firstLine="643" w:firstLineChars="200"/>
        <w:rPr>
          <w:rFonts w:hint="eastAsia" w:ascii="楷体_GB2312" w:hAnsi="Times New Roman" w:eastAsia="楷体_GB2312" w:cs="Times New Roman"/>
          <w:b/>
          <w:bCs w:val="0"/>
          <w:color w:val="000000"/>
          <w:kern w:val="2"/>
          <w:sz w:val="32"/>
          <w:szCs w:val="32"/>
          <w:lang w:val="en-US" w:eastAsia="zh-CN" w:bidi="ar-SA"/>
        </w:rPr>
      </w:pPr>
      <w:r>
        <w:rPr>
          <w:rFonts w:hint="eastAsia" w:ascii="楷体_GB2312" w:hAnsi="Times New Roman" w:eastAsia="楷体_GB2312" w:cs="Times New Roman"/>
          <w:b/>
          <w:bCs w:val="0"/>
          <w:color w:val="000000"/>
          <w:kern w:val="2"/>
          <w:sz w:val="32"/>
          <w:szCs w:val="32"/>
          <w:lang w:val="en-US" w:eastAsia="zh-CN" w:bidi="ar-SA"/>
        </w:rPr>
        <w:fldChar w:fldCharType="begin"/>
      </w:r>
      <w:r>
        <w:rPr>
          <w:rFonts w:hint="eastAsia" w:ascii="楷体_GB2312" w:hAnsi="Times New Roman" w:eastAsia="楷体_GB2312" w:cs="Times New Roman"/>
          <w:b/>
          <w:bCs w:val="0"/>
          <w:color w:val="000000"/>
          <w:kern w:val="2"/>
          <w:sz w:val="32"/>
          <w:szCs w:val="32"/>
          <w:lang w:val="en-US" w:eastAsia="zh-CN" w:bidi="ar-SA"/>
        </w:rPr>
        <w:instrText xml:space="preserve"> HYPERLINK \l _Toc32745 </w:instrText>
      </w:r>
      <w:r>
        <w:rPr>
          <w:rFonts w:hint="eastAsia" w:ascii="楷体_GB2312" w:hAnsi="Times New Roman" w:eastAsia="楷体_GB2312" w:cs="Times New Roman"/>
          <w:b/>
          <w:bCs w:val="0"/>
          <w:color w:val="000000"/>
          <w:kern w:val="2"/>
          <w:sz w:val="32"/>
          <w:szCs w:val="32"/>
          <w:lang w:val="en-US" w:eastAsia="zh-CN" w:bidi="ar-SA"/>
        </w:rPr>
        <w:fldChar w:fldCharType="separate"/>
      </w:r>
      <w:r>
        <w:rPr>
          <w:rFonts w:hint="eastAsia" w:ascii="楷体_GB2312" w:hAnsi="Times New Roman" w:eastAsia="楷体_GB2312" w:cs="Times New Roman"/>
          <w:b/>
          <w:bCs w:val="0"/>
          <w:color w:val="000000"/>
          <w:kern w:val="2"/>
          <w:sz w:val="32"/>
          <w:szCs w:val="32"/>
          <w:lang w:val="en-US" w:eastAsia="zh-CN" w:bidi="ar-SA"/>
        </w:rPr>
        <w:t>2. 地形地貌</w:t>
      </w:r>
      <w:r>
        <w:rPr>
          <w:rFonts w:hint="eastAsia" w:ascii="楷体_GB2312" w:hAnsi="Times New Roman" w:eastAsia="楷体_GB2312" w:cs="Times New Roman"/>
          <w:b/>
          <w:bCs w:val="0"/>
          <w:color w:val="000000"/>
          <w:kern w:val="2"/>
          <w:sz w:val="32"/>
          <w:szCs w:val="32"/>
          <w:lang w:val="en-US" w:eastAsia="zh-CN" w:bidi="ar-SA"/>
        </w:rPr>
        <w:fldChar w:fldCharType="end"/>
      </w:r>
    </w:p>
    <w:p>
      <w:pPr>
        <w:spacing w:line="360" w:lineRule="auto"/>
        <w:ind w:firstLine="540"/>
        <w:jc w:val="left"/>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泰安地处鲁中山区的一部分，地势自东北向西南倾斜，境内拥有山地、丘陵、平原、洼地、湖泊等多种地貌类型。其中平原3151.37km</w:t>
      </w:r>
      <w:r>
        <w:rPr>
          <w:rFonts w:hint="eastAsia" w:ascii="仿宋_GB2312" w:hAnsi="仿宋_GB2312" w:eastAsia="仿宋_GB2312" w:cs="仿宋_GB2312"/>
          <w:b w:val="0"/>
          <w:bCs w:val="0"/>
          <w:color w:val="000000"/>
          <w:kern w:val="2"/>
          <w:sz w:val="32"/>
          <w:szCs w:val="32"/>
          <w:vertAlign w:val="superscript"/>
          <w:lang w:val="en-US" w:eastAsia="zh-CN" w:bidi="ar-SA"/>
        </w:rPr>
        <w:t>2</w:t>
      </w:r>
      <w:r>
        <w:rPr>
          <w:rFonts w:hint="eastAsia" w:ascii="仿宋_GB2312" w:hAnsi="仿宋_GB2312" w:eastAsia="仿宋_GB2312" w:cs="仿宋_GB2312"/>
          <w:b w:val="0"/>
          <w:bCs w:val="0"/>
          <w:color w:val="000000"/>
          <w:kern w:val="2"/>
          <w:sz w:val="32"/>
          <w:szCs w:val="32"/>
          <w:lang w:val="en-US" w:eastAsia="zh-CN" w:bidi="ar-SA"/>
        </w:rPr>
        <w:t>，占全市土地面积的40.6%，丘陵3190.18 km</w:t>
      </w:r>
      <w:r>
        <w:rPr>
          <w:rFonts w:hint="eastAsia" w:ascii="仿宋_GB2312" w:hAnsi="仿宋_GB2312" w:eastAsia="仿宋_GB2312" w:cs="仿宋_GB2312"/>
          <w:b w:val="0"/>
          <w:bCs w:val="0"/>
          <w:color w:val="000000"/>
          <w:kern w:val="2"/>
          <w:sz w:val="32"/>
          <w:szCs w:val="32"/>
          <w:vertAlign w:val="superscript"/>
          <w:lang w:val="en-US" w:eastAsia="zh-CN" w:bidi="ar-SA"/>
        </w:rPr>
        <w:t>2</w:t>
      </w:r>
      <w:r>
        <w:rPr>
          <w:rFonts w:hint="eastAsia" w:ascii="仿宋_GB2312" w:hAnsi="仿宋_GB2312" w:eastAsia="仿宋_GB2312" w:cs="仿宋_GB2312"/>
          <w:b w:val="0"/>
          <w:bCs w:val="0"/>
          <w:color w:val="000000"/>
          <w:kern w:val="2"/>
          <w:sz w:val="32"/>
          <w:szCs w:val="32"/>
          <w:lang w:val="en-US" w:eastAsia="zh-CN" w:bidi="ar-SA"/>
        </w:rPr>
        <w:t>，占全市土地面积的41.1%，山地1420.45 km</w:t>
      </w:r>
      <w:r>
        <w:rPr>
          <w:rFonts w:hint="eastAsia" w:ascii="仿宋_GB2312" w:hAnsi="仿宋_GB2312" w:eastAsia="仿宋_GB2312" w:cs="仿宋_GB2312"/>
          <w:b w:val="0"/>
          <w:bCs w:val="0"/>
          <w:color w:val="000000"/>
          <w:kern w:val="2"/>
          <w:sz w:val="32"/>
          <w:szCs w:val="32"/>
          <w:vertAlign w:val="superscript"/>
          <w:lang w:val="en-US" w:eastAsia="zh-CN" w:bidi="ar-SA"/>
        </w:rPr>
        <w:t>2</w:t>
      </w:r>
      <w:r>
        <w:rPr>
          <w:rFonts w:hint="eastAsia" w:ascii="仿宋_GB2312" w:hAnsi="仿宋_GB2312" w:eastAsia="仿宋_GB2312" w:cs="仿宋_GB2312"/>
          <w:b w:val="0"/>
          <w:bCs w:val="0"/>
          <w:color w:val="000000"/>
          <w:kern w:val="2"/>
          <w:sz w:val="32"/>
          <w:szCs w:val="32"/>
          <w:lang w:val="en-US" w:eastAsia="zh-CN" w:bidi="ar-SA"/>
        </w:rPr>
        <w:t>，占全市土地面积的18.3%。五岳之首的东岳泰山雄距市域北部，面积426km</w:t>
      </w:r>
      <w:r>
        <w:rPr>
          <w:rFonts w:hint="eastAsia" w:ascii="仿宋_GB2312" w:hAnsi="仿宋_GB2312" w:eastAsia="仿宋_GB2312" w:cs="仿宋_GB2312"/>
          <w:b w:val="0"/>
          <w:bCs w:val="0"/>
          <w:color w:val="000000"/>
          <w:kern w:val="2"/>
          <w:sz w:val="32"/>
          <w:szCs w:val="32"/>
          <w:vertAlign w:val="superscript"/>
          <w:lang w:val="en-US" w:eastAsia="zh-CN" w:bidi="ar-SA"/>
        </w:rPr>
        <w:t>2</w:t>
      </w:r>
      <w:r>
        <w:rPr>
          <w:rFonts w:hint="eastAsia" w:ascii="仿宋_GB2312" w:hAnsi="仿宋_GB2312" w:eastAsia="仿宋_GB2312" w:cs="仿宋_GB2312"/>
          <w:b w:val="0"/>
          <w:bCs w:val="0"/>
          <w:color w:val="000000"/>
          <w:kern w:val="2"/>
          <w:sz w:val="32"/>
          <w:szCs w:val="32"/>
          <w:lang w:val="en-US" w:eastAsia="zh-CN" w:bidi="ar-SA"/>
        </w:rPr>
        <w:t>，其主峰玉皇顶，为山东省内第一高峰，海拔1545m，相对高度1378 m，拔地通天，雄伟壮观，主要为侵蚀构造中度切割中山和侵蚀剥蚀前切割低山。泰山景区地形地貌见图2-3。</w:t>
      </w:r>
      <w:bookmarkStart w:id="11" w:name="_Toc2996"/>
    </w:p>
    <w:p>
      <w:pPr>
        <w:pStyle w:val="2"/>
        <w:jc w:val="center"/>
        <w:outlineLvl w:val="9"/>
        <w:rPr>
          <w:rFonts w:hint="eastAsia" w:ascii="Times New Roman" w:hAnsi="Times New Roman" w:eastAsia="仿宋_GB2312" w:cs="Times New Roman"/>
          <w:b w:val="0"/>
          <w:bCs w:val="0"/>
          <w:color w:val="000000"/>
          <w:kern w:val="2"/>
          <w:sz w:val="32"/>
          <w:szCs w:val="32"/>
          <w:lang w:val="en-US" w:eastAsia="zh-CN" w:bidi="ar-SA"/>
        </w:rPr>
      </w:pPr>
      <w:r>
        <w:rPr>
          <w:sz w:val="24"/>
        </w:rPr>
        <mc:AlternateContent>
          <mc:Choice Requires="wps">
            <w:drawing>
              <wp:anchor distT="0" distB="0" distL="114300" distR="114300" simplePos="0" relativeHeight="251659264" behindDoc="0" locked="0" layoutInCell="1" allowOverlap="1">
                <wp:simplePos x="0" y="0"/>
                <wp:positionH relativeFrom="column">
                  <wp:posOffset>3030220</wp:posOffset>
                </wp:positionH>
                <wp:positionV relativeFrom="paragraph">
                  <wp:posOffset>134620</wp:posOffset>
                </wp:positionV>
                <wp:extent cx="948690" cy="1644650"/>
                <wp:effectExtent l="0" t="172085" r="0" b="174625"/>
                <wp:wrapNone/>
                <wp:docPr id="6" name="椭圆 6"/>
                <wp:cNvGraphicFramePr/>
                <a:graphic xmlns:a="http://schemas.openxmlformats.org/drawingml/2006/main">
                  <a:graphicData uri="http://schemas.microsoft.com/office/word/2010/wordprocessingShape">
                    <wps:wsp>
                      <wps:cNvSpPr/>
                      <wps:spPr>
                        <a:xfrm rot="3060000">
                          <a:off x="0" y="0"/>
                          <a:ext cx="948690" cy="1644650"/>
                        </a:xfrm>
                        <a:prstGeom prst="ellipse">
                          <a:avLst/>
                        </a:prstGeom>
                        <a:noFill/>
                        <a:ln w="222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38.6pt;margin-top:10.6pt;height:129.5pt;width:74.7pt;rotation:3342336f;z-index:251659264;mso-width-relative:page;mso-height-relative:page;" filled="f" stroked="t" coordsize="21600,21600" o:gfxdata="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XbQk2AAAAAoBAAAPAAAAAAAAAAEAIAAAACIAAABkcnMvZG93bnJl&#10;di54bWxQSwECFAAUAAAACACHTuJAETLQmP0BAAD9AwAADgAAAAAAAAABACAAAAAnAQAAZHJzL2Uy&#10;b0RvYy54bWxQSwUGAAAAAAYABgBZAQAAlgUAAAAA&#10;">
                <v:fill on="f" focussize="0,0"/>
                <v:stroke weight="1.75pt" color="#FF0000" joinstyle="round"/>
                <v:imagedata o:title=""/>
                <o:lock v:ext="edit" aspectratio="f"/>
              </v:shape>
            </w:pict>
          </mc:Fallback>
        </mc:AlternateContent>
      </w:r>
      <w:r>
        <w:rPr>
          <w:sz w:val="24"/>
          <w:szCs w:val="24"/>
        </w:rPr>
        <w:drawing>
          <wp:inline distT="0" distB="0" distL="114300" distR="114300">
            <wp:extent cx="3780155" cy="3954780"/>
            <wp:effectExtent l="0" t="0" r="10795" b="0"/>
            <wp:docPr id="5" name="图片 4" descr="地形地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地形地貌"/>
                    <pic:cNvPicPr>
                      <a:picLocks noChangeAspect="1"/>
                    </pic:cNvPicPr>
                  </pic:nvPicPr>
                  <pic:blipFill>
                    <a:blip r:embed="rId8"/>
                    <a:srcRect b="4962"/>
                    <a:stretch>
                      <a:fillRect/>
                    </a:stretch>
                  </pic:blipFill>
                  <pic:spPr>
                    <a:xfrm>
                      <a:off x="0" y="0"/>
                      <a:ext cx="3780155" cy="3954780"/>
                    </a:xfrm>
                    <a:prstGeom prst="rect">
                      <a:avLst/>
                    </a:prstGeom>
                    <a:noFill/>
                    <a:ln>
                      <a:noFill/>
                    </a:ln>
                  </pic:spPr>
                </pic:pic>
              </a:graphicData>
            </a:graphic>
          </wp:inline>
        </w:drawing>
      </w:r>
    </w:p>
    <w:p>
      <w:pPr>
        <w:spacing w:line="360" w:lineRule="auto"/>
        <w:jc w:val="center"/>
        <w:rPr>
          <w:b/>
          <w:bCs/>
          <w:sz w:val="24"/>
          <w:szCs w:val="16"/>
        </w:rPr>
      </w:pPr>
      <w:r>
        <w:rPr>
          <w:b/>
          <w:bCs/>
          <w:sz w:val="24"/>
          <w:szCs w:val="16"/>
        </w:rPr>
        <w:t xml:space="preserve">图2-3 </w:t>
      </w:r>
      <w:r>
        <w:rPr>
          <w:rFonts w:hint="eastAsia"/>
          <w:b/>
          <w:color w:val="000000"/>
          <w:sz w:val="24"/>
          <w:szCs w:val="24"/>
        </w:rPr>
        <w:t>泰山景区</w:t>
      </w:r>
      <w:r>
        <w:rPr>
          <w:b/>
          <w:bCs/>
          <w:sz w:val="24"/>
          <w:szCs w:val="16"/>
        </w:rPr>
        <w:t>地形地貌图</w:t>
      </w:r>
      <w:bookmarkEnd w:id="11"/>
    </w:p>
    <w:p>
      <w:pPr>
        <w:pStyle w:val="2"/>
        <w:spacing w:before="20" w:after="0" w:line="240" w:lineRule="auto"/>
        <w:ind w:firstLine="643" w:firstLineChars="200"/>
        <w:rPr>
          <w:rFonts w:ascii="楷体" w:hAnsi="楷体" w:eastAsia="楷体" w:cs="楷体"/>
          <w:sz w:val="28"/>
          <w:szCs w:val="18"/>
        </w:rPr>
      </w:pPr>
      <w:bookmarkStart w:id="12" w:name="_Toc19767"/>
      <w:r>
        <w:rPr>
          <w:rFonts w:hint="eastAsia" w:ascii="楷体_GB2312" w:hAnsi="Times New Roman" w:eastAsia="楷体_GB2312" w:cs="Times New Roman"/>
          <w:b/>
          <w:bCs w:val="0"/>
          <w:color w:val="000000"/>
          <w:kern w:val="2"/>
          <w:sz w:val="32"/>
          <w:szCs w:val="32"/>
          <w:lang w:val="en-US" w:eastAsia="zh-CN" w:bidi="ar-SA"/>
        </w:rPr>
        <w:fldChar w:fldCharType="begin"/>
      </w:r>
      <w:r>
        <w:rPr>
          <w:rFonts w:hint="eastAsia" w:ascii="楷体_GB2312" w:hAnsi="Times New Roman" w:eastAsia="楷体_GB2312" w:cs="Times New Roman"/>
          <w:b/>
          <w:bCs w:val="0"/>
          <w:color w:val="000000"/>
          <w:kern w:val="2"/>
          <w:sz w:val="32"/>
          <w:szCs w:val="32"/>
          <w:lang w:val="en-US" w:eastAsia="zh-CN" w:bidi="ar-SA"/>
        </w:rPr>
        <w:instrText xml:space="preserve"> HYPERLINK \l _Toc1458 </w:instrText>
      </w:r>
      <w:r>
        <w:rPr>
          <w:rFonts w:hint="eastAsia" w:ascii="楷体_GB2312" w:hAnsi="Times New Roman" w:eastAsia="楷体_GB2312" w:cs="Times New Roman"/>
          <w:b/>
          <w:bCs w:val="0"/>
          <w:color w:val="000000"/>
          <w:kern w:val="2"/>
          <w:sz w:val="32"/>
          <w:szCs w:val="32"/>
          <w:lang w:val="en-US" w:eastAsia="zh-CN" w:bidi="ar-SA"/>
        </w:rPr>
        <w:fldChar w:fldCharType="separate"/>
      </w:r>
      <w:r>
        <w:rPr>
          <w:rFonts w:hint="eastAsia" w:ascii="楷体_GB2312" w:hAnsi="Times New Roman" w:eastAsia="楷体_GB2312" w:cs="Times New Roman"/>
          <w:b/>
          <w:bCs w:val="0"/>
          <w:color w:val="000000"/>
          <w:kern w:val="2"/>
          <w:sz w:val="32"/>
          <w:szCs w:val="32"/>
          <w:lang w:val="en-US" w:eastAsia="zh-CN" w:bidi="ar-SA"/>
        </w:rPr>
        <w:t>3. 气象</w:t>
      </w:r>
      <w:r>
        <w:rPr>
          <w:rFonts w:hint="eastAsia" w:ascii="楷体_GB2312" w:hAnsi="Times New Roman" w:eastAsia="楷体_GB2312" w:cs="Times New Roman"/>
          <w:b/>
          <w:bCs w:val="0"/>
          <w:color w:val="000000"/>
          <w:kern w:val="2"/>
          <w:sz w:val="32"/>
          <w:szCs w:val="32"/>
          <w:lang w:val="en-US" w:eastAsia="zh-CN" w:bidi="ar-SA"/>
        </w:rPr>
        <w:fldChar w:fldCharType="end"/>
      </w:r>
      <w:r>
        <w:rPr>
          <w:rFonts w:hint="eastAsia" w:ascii="楷体_GB2312" w:hAnsi="Times New Roman" w:eastAsia="楷体_GB2312" w:cs="Times New Roman"/>
          <w:b/>
          <w:bCs w:val="0"/>
          <w:color w:val="000000"/>
          <w:kern w:val="2"/>
          <w:sz w:val="32"/>
          <w:szCs w:val="32"/>
          <w:lang w:val="en-US" w:eastAsia="zh-CN" w:bidi="ar-SA"/>
        </w:rPr>
        <w:t>条件</w:t>
      </w:r>
      <w:bookmarkEnd w:id="12"/>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泰安市属北温带大陆型半湿润季风气候，具有春季干燥多风，夏季炎热多雨，秋季晴和气爽，冬季寒冷干燥的气候特征。多年（1960～2017年）平均气温12.9℃，极端最高气温41℃（2002年7月15日），极端最低气温-27.5℃（1963年1月15日）。全年无霜期220天左右。</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泰安市内多年平均降水量790.69mm(1967～2017年)，年最大降水量1571.7mm(1971年)，年最小降水量404.4mm（1996年），日最大降水量197.0mm(2005年7月2日）。受季风影响年内降水具有明显的季节性，同时又存在丰枯年交替出现的现象，年内降水主要集中在6-8月份，一般占年降水量的65.5%，并多暴雨，其中以7月份最大，平均降水量达243.3mm，约占全年降水量的30.8%；11月至翌年3月降水量较小，各月一般均小于20mm，1月份降水量最小，区内年平均降水日数77.3天/年，年最多降水日数100天/年左右，最少降水日数60天/年以下。（见表2-1、图2-4）。</w:t>
      </w:r>
    </w:p>
    <w:p>
      <w:pPr>
        <w:tabs>
          <w:tab w:val="left" w:pos="1305"/>
        </w:tabs>
        <w:jc w:val="center"/>
        <w:rPr>
          <w:rFonts w:eastAsia="黑体"/>
          <w:color w:val="000000"/>
          <w:szCs w:val="21"/>
        </w:rPr>
      </w:pPr>
      <w:r>
        <w:rPr>
          <w:rFonts w:eastAsia="黑体"/>
          <w:color w:val="000000"/>
          <w:szCs w:val="21"/>
        </w:rPr>
        <w:t>表2-1   19</w:t>
      </w:r>
      <w:r>
        <w:rPr>
          <w:rFonts w:hint="eastAsia" w:eastAsia="黑体"/>
          <w:color w:val="000000"/>
          <w:szCs w:val="21"/>
        </w:rPr>
        <w:t>67</w:t>
      </w:r>
      <w:r>
        <w:rPr>
          <w:rFonts w:eastAsia="黑体"/>
          <w:color w:val="000000"/>
          <w:szCs w:val="21"/>
        </w:rPr>
        <w:t>年～201</w:t>
      </w:r>
      <w:r>
        <w:rPr>
          <w:rFonts w:hint="eastAsia" w:eastAsia="黑体"/>
          <w:color w:val="000000"/>
          <w:szCs w:val="21"/>
        </w:rPr>
        <w:t>7</w:t>
      </w:r>
      <w:r>
        <w:rPr>
          <w:rFonts w:eastAsia="黑体"/>
          <w:color w:val="000000"/>
          <w:szCs w:val="21"/>
        </w:rPr>
        <w:t>年泰安市月降水量统计一览表（单位：mm）</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673"/>
        <w:gridCol w:w="674"/>
        <w:gridCol w:w="673"/>
        <w:gridCol w:w="674"/>
        <w:gridCol w:w="673"/>
        <w:gridCol w:w="674"/>
        <w:gridCol w:w="673"/>
        <w:gridCol w:w="674"/>
        <w:gridCol w:w="673"/>
        <w:gridCol w:w="674"/>
        <w:gridCol w:w="673"/>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noWrap w:val="0"/>
            <w:vAlign w:val="top"/>
          </w:tcPr>
          <w:p>
            <w:pPr>
              <w:tabs>
                <w:tab w:val="left" w:pos="1305"/>
                <w:tab w:val="left" w:pos="5733"/>
              </w:tabs>
              <w:spacing w:line="320" w:lineRule="exact"/>
              <w:jc w:val="center"/>
              <w:rPr>
                <w:color w:val="000000"/>
                <w:sz w:val="18"/>
                <w:szCs w:val="18"/>
              </w:rPr>
            </w:pPr>
            <w:r>
              <w:rPr>
                <w:color w:val="000000"/>
                <w:sz w:val="18"/>
                <w:szCs w:val="18"/>
              </w:rPr>
              <w:t>月份</w:t>
            </w:r>
          </w:p>
        </w:tc>
        <w:tc>
          <w:tcPr>
            <w:tcW w:w="673" w:type="dxa"/>
            <w:noWrap w:val="0"/>
            <w:vAlign w:val="top"/>
          </w:tcPr>
          <w:p>
            <w:pPr>
              <w:tabs>
                <w:tab w:val="left" w:pos="1305"/>
                <w:tab w:val="left" w:pos="5733"/>
              </w:tabs>
              <w:spacing w:line="320" w:lineRule="exact"/>
              <w:jc w:val="center"/>
              <w:rPr>
                <w:color w:val="000000"/>
                <w:sz w:val="18"/>
                <w:szCs w:val="18"/>
              </w:rPr>
            </w:pPr>
            <w:r>
              <w:rPr>
                <w:color w:val="000000"/>
                <w:sz w:val="18"/>
                <w:szCs w:val="18"/>
              </w:rPr>
              <w:t>1月</w:t>
            </w:r>
          </w:p>
        </w:tc>
        <w:tc>
          <w:tcPr>
            <w:tcW w:w="674" w:type="dxa"/>
            <w:noWrap w:val="0"/>
            <w:vAlign w:val="top"/>
          </w:tcPr>
          <w:p>
            <w:pPr>
              <w:tabs>
                <w:tab w:val="left" w:pos="1305"/>
                <w:tab w:val="left" w:pos="5733"/>
              </w:tabs>
              <w:spacing w:line="320" w:lineRule="exact"/>
              <w:jc w:val="center"/>
              <w:rPr>
                <w:color w:val="000000"/>
                <w:sz w:val="18"/>
                <w:szCs w:val="18"/>
              </w:rPr>
            </w:pPr>
            <w:r>
              <w:rPr>
                <w:color w:val="000000"/>
                <w:sz w:val="18"/>
                <w:szCs w:val="18"/>
              </w:rPr>
              <w:t>2月</w:t>
            </w:r>
          </w:p>
        </w:tc>
        <w:tc>
          <w:tcPr>
            <w:tcW w:w="673" w:type="dxa"/>
            <w:noWrap w:val="0"/>
            <w:vAlign w:val="top"/>
          </w:tcPr>
          <w:p>
            <w:pPr>
              <w:tabs>
                <w:tab w:val="left" w:pos="1305"/>
                <w:tab w:val="left" w:pos="5733"/>
              </w:tabs>
              <w:spacing w:line="320" w:lineRule="exact"/>
              <w:jc w:val="center"/>
              <w:rPr>
                <w:color w:val="000000"/>
                <w:sz w:val="18"/>
                <w:szCs w:val="18"/>
              </w:rPr>
            </w:pPr>
            <w:r>
              <w:rPr>
                <w:color w:val="000000"/>
                <w:sz w:val="18"/>
                <w:szCs w:val="18"/>
              </w:rPr>
              <w:t>3月</w:t>
            </w:r>
          </w:p>
        </w:tc>
        <w:tc>
          <w:tcPr>
            <w:tcW w:w="674" w:type="dxa"/>
            <w:noWrap w:val="0"/>
            <w:vAlign w:val="top"/>
          </w:tcPr>
          <w:p>
            <w:pPr>
              <w:tabs>
                <w:tab w:val="left" w:pos="1305"/>
                <w:tab w:val="left" w:pos="5733"/>
              </w:tabs>
              <w:spacing w:line="320" w:lineRule="exact"/>
              <w:jc w:val="center"/>
              <w:rPr>
                <w:color w:val="000000"/>
                <w:sz w:val="18"/>
                <w:szCs w:val="18"/>
              </w:rPr>
            </w:pPr>
            <w:r>
              <w:rPr>
                <w:color w:val="000000"/>
                <w:sz w:val="18"/>
                <w:szCs w:val="18"/>
              </w:rPr>
              <w:t>4月</w:t>
            </w:r>
          </w:p>
        </w:tc>
        <w:tc>
          <w:tcPr>
            <w:tcW w:w="673" w:type="dxa"/>
            <w:noWrap w:val="0"/>
            <w:vAlign w:val="top"/>
          </w:tcPr>
          <w:p>
            <w:pPr>
              <w:tabs>
                <w:tab w:val="left" w:pos="1305"/>
                <w:tab w:val="left" w:pos="5733"/>
              </w:tabs>
              <w:spacing w:line="320" w:lineRule="exact"/>
              <w:jc w:val="center"/>
              <w:rPr>
                <w:color w:val="000000"/>
                <w:sz w:val="18"/>
                <w:szCs w:val="18"/>
              </w:rPr>
            </w:pPr>
            <w:r>
              <w:rPr>
                <w:color w:val="000000"/>
                <w:sz w:val="18"/>
                <w:szCs w:val="18"/>
              </w:rPr>
              <w:t>5月</w:t>
            </w:r>
          </w:p>
        </w:tc>
        <w:tc>
          <w:tcPr>
            <w:tcW w:w="674" w:type="dxa"/>
            <w:noWrap w:val="0"/>
            <w:vAlign w:val="top"/>
          </w:tcPr>
          <w:p>
            <w:pPr>
              <w:tabs>
                <w:tab w:val="left" w:pos="1305"/>
                <w:tab w:val="left" w:pos="5733"/>
              </w:tabs>
              <w:spacing w:line="320" w:lineRule="exact"/>
              <w:jc w:val="center"/>
              <w:rPr>
                <w:color w:val="000000"/>
                <w:sz w:val="18"/>
                <w:szCs w:val="18"/>
              </w:rPr>
            </w:pPr>
            <w:r>
              <w:rPr>
                <w:color w:val="000000"/>
                <w:sz w:val="18"/>
                <w:szCs w:val="18"/>
              </w:rPr>
              <w:t>6月</w:t>
            </w:r>
          </w:p>
        </w:tc>
        <w:tc>
          <w:tcPr>
            <w:tcW w:w="673" w:type="dxa"/>
            <w:noWrap w:val="0"/>
            <w:vAlign w:val="top"/>
          </w:tcPr>
          <w:p>
            <w:pPr>
              <w:tabs>
                <w:tab w:val="left" w:pos="1305"/>
                <w:tab w:val="left" w:pos="5733"/>
              </w:tabs>
              <w:spacing w:line="320" w:lineRule="exact"/>
              <w:jc w:val="center"/>
              <w:rPr>
                <w:color w:val="000000"/>
                <w:sz w:val="18"/>
                <w:szCs w:val="18"/>
              </w:rPr>
            </w:pPr>
            <w:r>
              <w:rPr>
                <w:color w:val="000000"/>
                <w:sz w:val="18"/>
                <w:szCs w:val="18"/>
              </w:rPr>
              <w:t>7月</w:t>
            </w:r>
          </w:p>
        </w:tc>
        <w:tc>
          <w:tcPr>
            <w:tcW w:w="674" w:type="dxa"/>
            <w:noWrap w:val="0"/>
            <w:vAlign w:val="top"/>
          </w:tcPr>
          <w:p>
            <w:pPr>
              <w:tabs>
                <w:tab w:val="left" w:pos="1305"/>
                <w:tab w:val="left" w:pos="5733"/>
              </w:tabs>
              <w:spacing w:line="320" w:lineRule="exact"/>
              <w:jc w:val="center"/>
              <w:rPr>
                <w:color w:val="000000"/>
                <w:sz w:val="18"/>
                <w:szCs w:val="18"/>
              </w:rPr>
            </w:pPr>
            <w:r>
              <w:rPr>
                <w:color w:val="000000"/>
                <w:sz w:val="18"/>
                <w:szCs w:val="18"/>
              </w:rPr>
              <w:t>8月</w:t>
            </w:r>
          </w:p>
        </w:tc>
        <w:tc>
          <w:tcPr>
            <w:tcW w:w="673" w:type="dxa"/>
            <w:noWrap w:val="0"/>
            <w:vAlign w:val="top"/>
          </w:tcPr>
          <w:p>
            <w:pPr>
              <w:tabs>
                <w:tab w:val="left" w:pos="1305"/>
                <w:tab w:val="left" w:pos="5733"/>
              </w:tabs>
              <w:spacing w:line="320" w:lineRule="exact"/>
              <w:jc w:val="center"/>
              <w:rPr>
                <w:color w:val="000000"/>
                <w:sz w:val="18"/>
                <w:szCs w:val="18"/>
              </w:rPr>
            </w:pPr>
            <w:r>
              <w:rPr>
                <w:color w:val="000000"/>
                <w:sz w:val="18"/>
                <w:szCs w:val="18"/>
              </w:rPr>
              <w:t>9月</w:t>
            </w:r>
          </w:p>
        </w:tc>
        <w:tc>
          <w:tcPr>
            <w:tcW w:w="674" w:type="dxa"/>
            <w:noWrap w:val="0"/>
            <w:vAlign w:val="top"/>
          </w:tcPr>
          <w:p>
            <w:pPr>
              <w:tabs>
                <w:tab w:val="left" w:pos="1305"/>
                <w:tab w:val="left" w:pos="5733"/>
              </w:tabs>
              <w:spacing w:line="320" w:lineRule="exact"/>
              <w:jc w:val="center"/>
              <w:rPr>
                <w:color w:val="000000"/>
                <w:sz w:val="18"/>
                <w:szCs w:val="18"/>
              </w:rPr>
            </w:pPr>
            <w:r>
              <w:rPr>
                <w:color w:val="000000"/>
                <w:sz w:val="18"/>
                <w:szCs w:val="18"/>
              </w:rPr>
              <w:t>10月</w:t>
            </w:r>
          </w:p>
        </w:tc>
        <w:tc>
          <w:tcPr>
            <w:tcW w:w="673" w:type="dxa"/>
            <w:noWrap w:val="0"/>
            <w:vAlign w:val="top"/>
          </w:tcPr>
          <w:p>
            <w:pPr>
              <w:tabs>
                <w:tab w:val="left" w:pos="1305"/>
                <w:tab w:val="left" w:pos="5733"/>
              </w:tabs>
              <w:spacing w:line="320" w:lineRule="exact"/>
              <w:jc w:val="center"/>
              <w:rPr>
                <w:color w:val="000000"/>
                <w:sz w:val="18"/>
                <w:szCs w:val="18"/>
              </w:rPr>
            </w:pPr>
            <w:r>
              <w:rPr>
                <w:color w:val="000000"/>
                <w:sz w:val="18"/>
                <w:szCs w:val="18"/>
              </w:rPr>
              <w:t>11月</w:t>
            </w:r>
          </w:p>
        </w:tc>
        <w:tc>
          <w:tcPr>
            <w:tcW w:w="674" w:type="dxa"/>
            <w:noWrap w:val="0"/>
            <w:vAlign w:val="top"/>
          </w:tcPr>
          <w:p>
            <w:pPr>
              <w:tabs>
                <w:tab w:val="left" w:pos="1305"/>
                <w:tab w:val="left" w:pos="5733"/>
              </w:tabs>
              <w:spacing w:line="320" w:lineRule="exact"/>
              <w:jc w:val="center"/>
              <w:rPr>
                <w:color w:val="000000"/>
                <w:sz w:val="18"/>
                <w:szCs w:val="18"/>
              </w:rPr>
            </w:pPr>
            <w:r>
              <w:rPr>
                <w:color w:val="000000"/>
                <w:sz w:val="18"/>
                <w:szCs w:val="18"/>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noWrap w:val="0"/>
            <w:vAlign w:val="top"/>
          </w:tcPr>
          <w:p>
            <w:pPr>
              <w:tabs>
                <w:tab w:val="left" w:pos="1305"/>
                <w:tab w:val="left" w:pos="5733"/>
              </w:tabs>
              <w:spacing w:line="320" w:lineRule="exact"/>
              <w:jc w:val="center"/>
              <w:rPr>
                <w:color w:val="000000"/>
                <w:sz w:val="18"/>
                <w:szCs w:val="18"/>
              </w:rPr>
            </w:pPr>
            <w:r>
              <w:rPr>
                <w:color w:val="000000"/>
                <w:sz w:val="18"/>
                <w:szCs w:val="18"/>
              </w:rPr>
              <w:t>月最大</w:t>
            </w:r>
          </w:p>
        </w:tc>
        <w:tc>
          <w:tcPr>
            <w:tcW w:w="673" w:type="dxa"/>
            <w:noWrap w:val="0"/>
            <w:vAlign w:val="top"/>
          </w:tcPr>
          <w:p>
            <w:pPr>
              <w:tabs>
                <w:tab w:val="left" w:pos="1305"/>
                <w:tab w:val="left" w:pos="5733"/>
              </w:tabs>
              <w:spacing w:line="320" w:lineRule="exact"/>
              <w:jc w:val="center"/>
              <w:rPr>
                <w:color w:val="000000"/>
                <w:sz w:val="18"/>
                <w:szCs w:val="18"/>
              </w:rPr>
            </w:pPr>
            <w:r>
              <w:rPr>
                <w:color w:val="000000"/>
                <w:sz w:val="18"/>
                <w:szCs w:val="18"/>
              </w:rPr>
              <w:t>36.3</w:t>
            </w:r>
          </w:p>
        </w:tc>
        <w:tc>
          <w:tcPr>
            <w:tcW w:w="674" w:type="dxa"/>
            <w:noWrap w:val="0"/>
            <w:vAlign w:val="top"/>
          </w:tcPr>
          <w:p>
            <w:pPr>
              <w:spacing w:line="320" w:lineRule="exact"/>
              <w:jc w:val="center"/>
              <w:rPr>
                <w:color w:val="000000"/>
                <w:sz w:val="18"/>
                <w:szCs w:val="18"/>
              </w:rPr>
            </w:pPr>
            <w:r>
              <w:rPr>
                <w:color w:val="000000"/>
                <w:sz w:val="18"/>
                <w:szCs w:val="18"/>
              </w:rPr>
              <w:t>46.3</w:t>
            </w:r>
          </w:p>
        </w:tc>
        <w:tc>
          <w:tcPr>
            <w:tcW w:w="673" w:type="dxa"/>
            <w:noWrap w:val="0"/>
            <w:vAlign w:val="top"/>
          </w:tcPr>
          <w:p>
            <w:pPr>
              <w:spacing w:line="320" w:lineRule="exact"/>
              <w:jc w:val="center"/>
              <w:rPr>
                <w:color w:val="000000"/>
                <w:sz w:val="18"/>
                <w:szCs w:val="18"/>
              </w:rPr>
            </w:pPr>
            <w:r>
              <w:rPr>
                <w:color w:val="000000"/>
                <w:sz w:val="18"/>
                <w:szCs w:val="18"/>
              </w:rPr>
              <w:t>55.3</w:t>
            </w:r>
          </w:p>
        </w:tc>
        <w:tc>
          <w:tcPr>
            <w:tcW w:w="674" w:type="dxa"/>
            <w:noWrap w:val="0"/>
            <w:vAlign w:val="top"/>
          </w:tcPr>
          <w:p>
            <w:pPr>
              <w:spacing w:line="320" w:lineRule="exact"/>
              <w:jc w:val="center"/>
              <w:rPr>
                <w:color w:val="000000"/>
                <w:sz w:val="18"/>
                <w:szCs w:val="18"/>
              </w:rPr>
            </w:pPr>
            <w:r>
              <w:rPr>
                <w:color w:val="000000"/>
                <w:sz w:val="18"/>
                <w:szCs w:val="18"/>
              </w:rPr>
              <w:t>155.6</w:t>
            </w:r>
          </w:p>
        </w:tc>
        <w:tc>
          <w:tcPr>
            <w:tcW w:w="673" w:type="dxa"/>
            <w:noWrap w:val="0"/>
            <w:vAlign w:val="top"/>
          </w:tcPr>
          <w:p>
            <w:pPr>
              <w:spacing w:line="320" w:lineRule="exact"/>
              <w:jc w:val="center"/>
              <w:rPr>
                <w:color w:val="000000"/>
                <w:sz w:val="18"/>
                <w:szCs w:val="18"/>
              </w:rPr>
            </w:pPr>
            <w:r>
              <w:rPr>
                <w:color w:val="000000"/>
                <w:sz w:val="18"/>
                <w:szCs w:val="18"/>
              </w:rPr>
              <w:t>144.5</w:t>
            </w:r>
          </w:p>
        </w:tc>
        <w:tc>
          <w:tcPr>
            <w:tcW w:w="674" w:type="dxa"/>
            <w:noWrap w:val="0"/>
            <w:vAlign w:val="top"/>
          </w:tcPr>
          <w:p>
            <w:pPr>
              <w:spacing w:line="320" w:lineRule="exact"/>
              <w:jc w:val="center"/>
              <w:rPr>
                <w:color w:val="000000"/>
                <w:sz w:val="18"/>
                <w:szCs w:val="18"/>
              </w:rPr>
            </w:pPr>
            <w:r>
              <w:rPr>
                <w:color w:val="000000"/>
                <w:sz w:val="18"/>
                <w:szCs w:val="18"/>
              </w:rPr>
              <w:t>296.8</w:t>
            </w:r>
          </w:p>
        </w:tc>
        <w:tc>
          <w:tcPr>
            <w:tcW w:w="673" w:type="dxa"/>
            <w:noWrap w:val="0"/>
            <w:vAlign w:val="top"/>
          </w:tcPr>
          <w:p>
            <w:pPr>
              <w:spacing w:line="320" w:lineRule="exact"/>
              <w:jc w:val="center"/>
              <w:rPr>
                <w:color w:val="000000"/>
                <w:sz w:val="18"/>
                <w:szCs w:val="18"/>
              </w:rPr>
            </w:pPr>
            <w:r>
              <w:rPr>
                <w:color w:val="000000"/>
                <w:sz w:val="18"/>
                <w:szCs w:val="18"/>
              </w:rPr>
              <w:t>516.3</w:t>
            </w:r>
          </w:p>
        </w:tc>
        <w:tc>
          <w:tcPr>
            <w:tcW w:w="674" w:type="dxa"/>
            <w:noWrap w:val="0"/>
            <w:vAlign w:val="top"/>
          </w:tcPr>
          <w:p>
            <w:pPr>
              <w:spacing w:line="320" w:lineRule="exact"/>
              <w:jc w:val="center"/>
              <w:rPr>
                <w:color w:val="000000"/>
                <w:sz w:val="18"/>
                <w:szCs w:val="18"/>
              </w:rPr>
            </w:pPr>
            <w:r>
              <w:rPr>
                <w:color w:val="000000"/>
                <w:sz w:val="18"/>
                <w:szCs w:val="18"/>
              </w:rPr>
              <w:t>419.9</w:t>
            </w:r>
          </w:p>
        </w:tc>
        <w:tc>
          <w:tcPr>
            <w:tcW w:w="673" w:type="dxa"/>
            <w:noWrap w:val="0"/>
            <w:vAlign w:val="top"/>
          </w:tcPr>
          <w:p>
            <w:pPr>
              <w:spacing w:line="320" w:lineRule="exact"/>
              <w:jc w:val="center"/>
              <w:rPr>
                <w:color w:val="000000"/>
                <w:sz w:val="18"/>
                <w:szCs w:val="18"/>
              </w:rPr>
            </w:pPr>
            <w:r>
              <w:rPr>
                <w:color w:val="000000"/>
                <w:sz w:val="18"/>
                <w:szCs w:val="18"/>
              </w:rPr>
              <w:t>267.3</w:t>
            </w:r>
          </w:p>
        </w:tc>
        <w:tc>
          <w:tcPr>
            <w:tcW w:w="674" w:type="dxa"/>
            <w:noWrap w:val="0"/>
            <w:vAlign w:val="top"/>
          </w:tcPr>
          <w:p>
            <w:pPr>
              <w:spacing w:line="320" w:lineRule="exact"/>
              <w:jc w:val="center"/>
              <w:rPr>
                <w:color w:val="000000"/>
                <w:sz w:val="18"/>
                <w:szCs w:val="18"/>
              </w:rPr>
            </w:pPr>
            <w:r>
              <w:rPr>
                <w:color w:val="000000"/>
                <w:sz w:val="18"/>
                <w:szCs w:val="18"/>
              </w:rPr>
              <w:t>194.8</w:t>
            </w:r>
          </w:p>
        </w:tc>
        <w:tc>
          <w:tcPr>
            <w:tcW w:w="673" w:type="dxa"/>
            <w:noWrap w:val="0"/>
            <w:vAlign w:val="top"/>
          </w:tcPr>
          <w:p>
            <w:pPr>
              <w:spacing w:line="320" w:lineRule="exact"/>
              <w:jc w:val="center"/>
              <w:rPr>
                <w:color w:val="000000"/>
                <w:sz w:val="18"/>
                <w:szCs w:val="18"/>
              </w:rPr>
            </w:pPr>
            <w:r>
              <w:rPr>
                <w:color w:val="000000"/>
                <w:sz w:val="18"/>
                <w:szCs w:val="18"/>
              </w:rPr>
              <w:t>123.1</w:t>
            </w:r>
          </w:p>
        </w:tc>
        <w:tc>
          <w:tcPr>
            <w:tcW w:w="674" w:type="dxa"/>
            <w:noWrap w:val="0"/>
            <w:vAlign w:val="top"/>
          </w:tcPr>
          <w:p>
            <w:pPr>
              <w:spacing w:line="320" w:lineRule="exact"/>
              <w:jc w:val="center"/>
              <w:rPr>
                <w:color w:val="000000"/>
                <w:sz w:val="18"/>
                <w:szCs w:val="18"/>
              </w:rPr>
            </w:pPr>
            <w:r>
              <w:rPr>
                <w:color w:val="000000"/>
                <w:sz w:val="18"/>
                <w:szCs w:val="18"/>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noWrap w:val="0"/>
            <w:vAlign w:val="top"/>
          </w:tcPr>
          <w:p>
            <w:pPr>
              <w:tabs>
                <w:tab w:val="left" w:pos="1305"/>
                <w:tab w:val="left" w:pos="5733"/>
              </w:tabs>
              <w:spacing w:line="320" w:lineRule="exact"/>
              <w:jc w:val="center"/>
              <w:rPr>
                <w:color w:val="000000"/>
                <w:sz w:val="18"/>
                <w:szCs w:val="18"/>
              </w:rPr>
            </w:pPr>
            <w:r>
              <w:rPr>
                <w:color w:val="000000"/>
                <w:sz w:val="18"/>
                <w:szCs w:val="18"/>
              </w:rPr>
              <w:t>月最小</w:t>
            </w:r>
          </w:p>
        </w:tc>
        <w:tc>
          <w:tcPr>
            <w:tcW w:w="673" w:type="dxa"/>
            <w:noWrap w:val="0"/>
            <w:vAlign w:val="top"/>
          </w:tcPr>
          <w:p>
            <w:pPr>
              <w:tabs>
                <w:tab w:val="left" w:pos="1305"/>
                <w:tab w:val="left" w:pos="5733"/>
              </w:tabs>
              <w:spacing w:line="320" w:lineRule="exact"/>
              <w:jc w:val="center"/>
              <w:rPr>
                <w:color w:val="000000"/>
                <w:sz w:val="18"/>
                <w:szCs w:val="18"/>
              </w:rPr>
            </w:pPr>
            <w:r>
              <w:rPr>
                <w:color w:val="000000"/>
                <w:sz w:val="18"/>
                <w:szCs w:val="18"/>
              </w:rPr>
              <w:t>0</w:t>
            </w:r>
          </w:p>
        </w:tc>
        <w:tc>
          <w:tcPr>
            <w:tcW w:w="674" w:type="dxa"/>
            <w:noWrap w:val="0"/>
            <w:vAlign w:val="top"/>
          </w:tcPr>
          <w:p>
            <w:pPr>
              <w:spacing w:line="320" w:lineRule="exact"/>
              <w:jc w:val="center"/>
              <w:rPr>
                <w:color w:val="000000"/>
                <w:sz w:val="18"/>
                <w:szCs w:val="18"/>
              </w:rPr>
            </w:pPr>
            <w:r>
              <w:rPr>
                <w:color w:val="000000"/>
                <w:sz w:val="18"/>
                <w:szCs w:val="18"/>
              </w:rPr>
              <w:t>0</w:t>
            </w:r>
          </w:p>
        </w:tc>
        <w:tc>
          <w:tcPr>
            <w:tcW w:w="673" w:type="dxa"/>
            <w:noWrap w:val="0"/>
            <w:vAlign w:val="top"/>
          </w:tcPr>
          <w:p>
            <w:pPr>
              <w:spacing w:line="320" w:lineRule="exact"/>
              <w:jc w:val="center"/>
              <w:rPr>
                <w:color w:val="000000"/>
                <w:sz w:val="18"/>
                <w:szCs w:val="18"/>
              </w:rPr>
            </w:pPr>
            <w:r>
              <w:rPr>
                <w:color w:val="000000"/>
                <w:sz w:val="18"/>
                <w:szCs w:val="18"/>
              </w:rPr>
              <w:t>0</w:t>
            </w:r>
          </w:p>
        </w:tc>
        <w:tc>
          <w:tcPr>
            <w:tcW w:w="674" w:type="dxa"/>
            <w:noWrap w:val="0"/>
            <w:vAlign w:val="top"/>
          </w:tcPr>
          <w:p>
            <w:pPr>
              <w:spacing w:line="320" w:lineRule="exact"/>
              <w:jc w:val="center"/>
              <w:rPr>
                <w:color w:val="000000"/>
                <w:sz w:val="18"/>
                <w:szCs w:val="18"/>
              </w:rPr>
            </w:pPr>
            <w:r>
              <w:rPr>
                <w:color w:val="000000"/>
                <w:sz w:val="18"/>
                <w:szCs w:val="18"/>
              </w:rPr>
              <w:t>1.5</w:t>
            </w:r>
          </w:p>
        </w:tc>
        <w:tc>
          <w:tcPr>
            <w:tcW w:w="673" w:type="dxa"/>
            <w:noWrap w:val="0"/>
            <w:vAlign w:val="top"/>
          </w:tcPr>
          <w:p>
            <w:pPr>
              <w:spacing w:line="320" w:lineRule="exact"/>
              <w:jc w:val="center"/>
              <w:rPr>
                <w:color w:val="000000"/>
                <w:sz w:val="18"/>
                <w:szCs w:val="18"/>
              </w:rPr>
            </w:pPr>
            <w:r>
              <w:rPr>
                <w:color w:val="000000"/>
                <w:sz w:val="18"/>
                <w:szCs w:val="18"/>
              </w:rPr>
              <w:t>2.2</w:t>
            </w:r>
          </w:p>
        </w:tc>
        <w:tc>
          <w:tcPr>
            <w:tcW w:w="674" w:type="dxa"/>
            <w:noWrap w:val="0"/>
            <w:vAlign w:val="top"/>
          </w:tcPr>
          <w:p>
            <w:pPr>
              <w:spacing w:line="320" w:lineRule="exact"/>
              <w:jc w:val="center"/>
              <w:rPr>
                <w:color w:val="000000"/>
                <w:sz w:val="18"/>
                <w:szCs w:val="18"/>
              </w:rPr>
            </w:pPr>
            <w:r>
              <w:rPr>
                <w:color w:val="000000"/>
                <w:sz w:val="18"/>
                <w:szCs w:val="18"/>
              </w:rPr>
              <w:t>15.1</w:t>
            </w:r>
          </w:p>
        </w:tc>
        <w:tc>
          <w:tcPr>
            <w:tcW w:w="673" w:type="dxa"/>
            <w:noWrap w:val="0"/>
            <w:vAlign w:val="top"/>
          </w:tcPr>
          <w:p>
            <w:pPr>
              <w:spacing w:line="320" w:lineRule="exact"/>
              <w:jc w:val="center"/>
              <w:rPr>
                <w:color w:val="000000"/>
                <w:sz w:val="18"/>
                <w:szCs w:val="18"/>
              </w:rPr>
            </w:pPr>
            <w:r>
              <w:rPr>
                <w:color w:val="000000"/>
                <w:sz w:val="18"/>
                <w:szCs w:val="18"/>
              </w:rPr>
              <w:t>62.0</w:t>
            </w:r>
          </w:p>
        </w:tc>
        <w:tc>
          <w:tcPr>
            <w:tcW w:w="674" w:type="dxa"/>
            <w:noWrap w:val="0"/>
            <w:vAlign w:val="top"/>
          </w:tcPr>
          <w:p>
            <w:pPr>
              <w:spacing w:line="320" w:lineRule="exact"/>
              <w:jc w:val="center"/>
              <w:rPr>
                <w:color w:val="000000"/>
                <w:sz w:val="18"/>
                <w:szCs w:val="18"/>
              </w:rPr>
            </w:pPr>
            <w:r>
              <w:rPr>
                <w:color w:val="000000"/>
                <w:sz w:val="18"/>
                <w:szCs w:val="18"/>
              </w:rPr>
              <w:t>25.9</w:t>
            </w:r>
          </w:p>
        </w:tc>
        <w:tc>
          <w:tcPr>
            <w:tcW w:w="673" w:type="dxa"/>
            <w:noWrap w:val="0"/>
            <w:vAlign w:val="top"/>
          </w:tcPr>
          <w:p>
            <w:pPr>
              <w:spacing w:line="320" w:lineRule="exact"/>
              <w:jc w:val="center"/>
              <w:rPr>
                <w:color w:val="000000"/>
                <w:sz w:val="18"/>
                <w:szCs w:val="18"/>
              </w:rPr>
            </w:pPr>
            <w:r>
              <w:rPr>
                <w:color w:val="000000"/>
                <w:sz w:val="18"/>
                <w:szCs w:val="18"/>
              </w:rPr>
              <w:t>0.7</w:t>
            </w:r>
          </w:p>
        </w:tc>
        <w:tc>
          <w:tcPr>
            <w:tcW w:w="674" w:type="dxa"/>
            <w:noWrap w:val="0"/>
            <w:vAlign w:val="top"/>
          </w:tcPr>
          <w:p>
            <w:pPr>
              <w:spacing w:line="320" w:lineRule="exact"/>
              <w:jc w:val="center"/>
              <w:rPr>
                <w:color w:val="000000"/>
                <w:sz w:val="18"/>
                <w:szCs w:val="18"/>
              </w:rPr>
            </w:pPr>
            <w:r>
              <w:rPr>
                <w:color w:val="000000"/>
                <w:sz w:val="18"/>
                <w:szCs w:val="18"/>
              </w:rPr>
              <w:t>1.0</w:t>
            </w:r>
          </w:p>
        </w:tc>
        <w:tc>
          <w:tcPr>
            <w:tcW w:w="673" w:type="dxa"/>
            <w:noWrap w:val="0"/>
            <w:vAlign w:val="top"/>
          </w:tcPr>
          <w:p>
            <w:pPr>
              <w:spacing w:line="320" w:lineRule="exact"/>
              <w:jc w:val="center"/>
              <w:rPr>
                <w:color w:val="000000"/>
                <w:sz w:val="18"/>
                <w:szCs w:val="18"/>
              </w:rPr>
            </w:pPr>
            <w:r>
              <w:rPr>
                <w:color w:val="000000"/>
                <w:sz w:val="18"/>
                <w:szCs w:val="18"/>
              </w:rPr>
              <w:t>0</w:t>
            </w:r>
          </w:p>
        </w:tc>
        <w:tc>
          <w:tcPr>
            <w:tcW w:w="674" w:type="dxa"/>
            <w:noWrap w:val="0"/>
            <w:vAlign w:val="top"/>
          </w:tcPr>
          <w:p>
            <w:pPr>
              <w:spacing w:line="320" w:lineRule="exact"/>
              <w:jc w:val="center"/>
              <w:rPr>
                <w:color w:val="000000"/>
                <w:sz w:val="18"/>
                <w:szCs w:val="18"/>
              </w:rPr>
            </w:pPr>
            <w:r>
              <w:rPr>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noWrap w:val="0"/>
            <w:vAlign w:val="top"/>
          </w:tcPr>
          <w:p>
            <w:pPr>
              <w:tabs>
                <w:tab w:val="left" w:pos="1305"/>
                <w:tab w:val="left" w:pos="5733"/>
              </w:tabs>
              <w:spacing w:line="320" w:lineRule="exact"/>
              <w:jc w:val="center"/>
              <w:rPr>
                <w:color w:val="000000"/>
                <w:sz w:val="18"/>
                <w:szCs w:val="18"/>
              </w:rPr>
            </w:pPr>
            <w:r>
              <w:rPr>
                <w:color w:val="000000"/>
                <w:sz w:val="18"/>
                <w:szCs w:val="18"/>
              </w:rPr>
              <w:t>月平均</w:t>
            </w:r>
          </w:p>
        </w:tc>
        <w:tc>
          <w:tcPr>
            <w:tcW w:w="673" w:type="dxa"/>
            <w:noWrap w:val="0"/>
            <w:vAlign w:val="bottom"/>
          </w:tcPr>
          <w:p>
            <w:pPr>
              <w:spacing w:line="320" w:lineRule="exact"/>
              <w:jc w:val="center"/>
              <w:rPr>
                <w:color w:val="000000"/>
                <w:sz w:val="18"/>
                <w:szCs w:val="18"/>
              </w:rPr>
            </w:pPr>
            <w:r>
              <w:rPr>
                <w:color w:val="000000"/>
                <w:sz w:val="18"/>
                <w:szCs w:val="18"/>
              </w:rPr>
              <w:t>6.70</w:t>
            </w:r>
          </w:p>
        </w:tc>
        <w:tc>
          <w:tcPr>
            <w:tcW w:w="674" w:type="dxa"/>
            <w:noWrap w:val="0"/>
            <w:vAlign w:val="bottom"/>
          </w:tcPr>
          <w:p>
            <w:pPr>
              <w:spacing w:line="320" w:lineRule="exact"/>
              <w:jc w:val="center"/>
              <w:rPr>
                <w:color w:val="000000"/>
                <w:sz w:val="18"/>
                <w:szCs w:val="18"/>
              </w:rPr>
            </w:pPr>
            <w:r>
              <w:rPr>
                <w:color w:val="000000"/>
                <w:sz w:val="18"/>
                <w:szCs w:val="18"/>
              </w:rPr>
              <w:t>12.13</w:t>
            </w:r>
          </w:p>
        </w:tc>
        <w:tc>
          <w:tcPr>
            <w:tcW w:w="673" w:type="dxa"/>
            <w:noWrap w:val="0"/>
            <w:vAlign w:val="bottom"/>
          </w:tcPr>
          <w:p>
            <w:pPr>
              <w:spacing w:line="320" w:lineRule="exact"/>
              <w:jc w:val="center"/>
              <w:rPr>
                <w:color w:val="000000"/>
                <w:sz w:val="18"/>
                <w:szCs w:val="18"/>
              </w:rPr>
            </w:pPr>
            <w:r>
              <w:rPr>
                <w:color w:val="000000"/>
                <w:sz w:val="18"/>
                <w:szCs w:val="18"/>
              </w:rPr>
              <w:t>17.79</w:t>
            </w:r>
          </w:p>
        </w:tc>
        <w:tc>
          <w:tcPr>
            <w:tcW w:w="674" w:type="dxa"/>
            <w:noWrap w:val="0"/>
            <w:vAlign w:val="bottom"/>
          </w:tcPr>
          <w:p>
            <w:pPr>
              <w:spacing w:line="320" w:lineRule="exact"/>
              <w:jc w:val="center"/>
              <w:rPr>
                <w:color w:val="000000"/>
                <w:sz w:val="18"/>
                <w:szCs w:val="18"/>
              </w:rPr>
            </w:pPr>
            <w:r>
              <w:rPr>
                <w:color w:val="000000"/>
                <w:sz w:val="18"/>
                <w:szCs w:val="18"/>
              </w:rPr>
              <w:t>38.52</w:t>
            </w:r>
          </w:p>
        </w:tc>
        <w:tc>
          <w:tcPr>
            <w:tcW w:w="673" w:type="dxa"/>
            <w:noWrap w:val="0"/>
            <w:vAlign w:val="bottom"/>
          </w:tcPr>
          <w:p>
            <w:pPr>
              <w:spacing w:line="320" w:lineRule="exact"/>
              <w:jc w:val="center"/>
              <w:rPr>
                <w:color w:val="000000"/>
                <w:sz w:val="18"/>
                <w:szCs w:val="18"/>
              </w:rPr>
            </w:pPr>
            <w:r>
              <w:rPr>
                <w:color w:val="000000"/>
                <w:sz w:val="18"/>
                <w:szCs w:val="18"/>
              </w:rPr>
              <w:t>53.3</w:t>
            </w:r>
          </w:p>
        </w:tc>
        <w:tc>
          <w:tcPr>
            <w:tcW w:w="674" w:type="dxa"/>
            <w:noWrap w:val="0"/>
            <w:vAlign w:val="bottom"/>
          </w:tcPr>
          <w:p>
            <w:pPr>
              <w:spacing w:line="320" w:lineRule="exact"/>
              <w:jc w:val="center"/>
              <w:rPr>
                <w:color w:val="000000"/>
                <w:sz w:val="18"/>
                <w:szCs w:val="18"/>
              </w:rPr>
            </w:pPr>
            <w:r>
              <w:rPr>
                <w:color w:val="000000"/>
                <w:sz w:val="18"/>
                <w:szCs w:val="18"/>
              </w:rPr>
              <w:t>100.5</w:t>
            </w:r>
          </w:p>
        </w:tc>
        <w:tc>
          <w:tcPr>
            <w:tcW w:w="673" w:type="dxa"/>
            <w:noWrap w:val="0"/>
            <w:vAlign w:val="bottom"/>
          </w:tcPr>
          <w:p>
            <w:pPr>
              <w:spacing w:line="320" w:lineRule="exact"/>
              <w:jc w:val="center"/>
              <w:rPr>
                <w:color w:val="000000"/>
                <w:sz w:val="18"/>
                <w:szCs w:val="18"/>
              </w:rPr>
            </w:pPr>
            <w:r>
              <w:rPr>
                <w:color w:val="000000"/>
                <w:sz w:val="18"/>
                <w:szCs w:val="18"/>
              </w:rPr>
              <w:t>243.3</w:t>
            </w:r>
          </w:p>
        </w:tc>
        <w:tc>
          <w:tcPr>
            <w:tcW w:w="674" w:type="dxa"/>
            <w:noWrap w:val="0"/>
            <w:vAlign w:val="bottom"/>
          </w:tcPr>
          <w:p>
            <w:pPr>
              <w:spacing w:line="320" w:lineRule="exact"/>
              <w:jc w:val="center"/>
              <w:rPr>
                <w:color w:val="000000"/>
                <w:sz w:val="18"/>
                <w:szCs w:val="18"/>
              </w:rPr>
            </w:pPr>
            <w:r>
              <w:rPr>
                <w:color w:val="000000"/>
                <w:sz w:val="18"/>
                <w:szCs w:val="18"/>
              </w:rPr>
              <w:t>174.4</w:t>
            </w:r>
          </w:p>
        </w:tc>
        <w:tc>
          <w:tcPr>
            <w:tcW w:w="673" w:type="dxa"/>
            <w:noWrap w:val="0"/>
            <w:vAlign w:val="bottom"/>
          </w:tcPr>
          <w:p>
            <w:pPr>
              <w:spacing w:line="320" w:lineRule="exact"/>
              <w:jc w:val="center"/>
              <w:rPr>
                <w:color w:val="000000"/>
                <w:sz w:val="18"/>
                <w:szCs w:val="18"/>
              </w:rPr>
            </w:pPr>
            <w:r>
              <w:rPr>
                <w:color w:val="000000"/>
                <w:sz w:val="18"/>
                <w:szCs w:val="18"/>
              </w:rPr>
              <w:t>75.9</w:t>
            </w:r>
          </w:p>
        </w:tc>
        <w:tc>
          <w:tcPr>
            <w:tcW w:w="674" w:type="dxa"/>
            <w:noWrap w:val="0"/>
            <w:vAlign w:val="bottom"/>
          </w:tcPr>
          <w:p>
            <w:pPr>
              <w:spacing w:line="320" w:lineRule="exact"/>
              <w:jc w:val="center"/>
              <w:rPr>
                <w:color w:val="000000"/>
                <w:sz w:val="18"/>
                <w:szCs w:val="18"/>
              </w:rPr>
            </w:pPr>
            <w:r>
              <w:rPr>
                <w:color w:val="000000"/>
                <w:sz w:val="18"/>
                <w:szCs w:val="18"/>
              </w:rPr>
              <w:t>40.6</w:t>
            </w:r>
          </w:p>
        </w:tc>
        <w:tc>
          <w:tcPr>
            <w:tcW w:w="673" w:type="dxa"/>
            <w:noWrap w:val="0"/>
            <w:vAlign w:val="bottom"/>
          </w:tcPr>
          <w:p>
            <w:pPr>
              <w:spacing w:line="320" w:lineRule="exact"/>
              <w:jc w:val="center"/>
              <w:rPr>
                <w:color w:val="000000"/>
                <w:sz w:val="18"/>
                <w:szCs w:val="18"/>
              </w:rPr>
            </w:pPr>
            <w:r>
              <w:rPr>
                <w:color w:val="000000"/>
                <w:sz w:val="18"/>
                <w:szCs w:val="18"/>
              </w:rPr>
              <w:t>18.3</w:t>
            </w:r>
          </w:p>
        </w:tc>
        <w:tc>
          <w:tcPr>
            <w:tcW w:w="674" w:type="dxa"/>
            <w:noWrap w:val="0"/>
            <w:vAlign w:val="bottom"/>
          </w:tcPr>
          <w:p>
            <w:pPr>
              <w:spacing w:line="320" w:lineRule="exact"/>
              <w:jc w:val="center"/>
              <w:rPr>
                <w:color w:val="000000"/>
                <w:sz w:val="18"/>
                <w:szCs w:val="18"/>
              </w:rPr>
            </w:pPr>
            <w:r>
              <w:rPr>
                <w:color w:val="000000"/>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9" w:type="dxa"/>
            <w:noWrap w:val="0"/>
            <w:vAlign w:val="top"/>
          </w:tcPr>
          <w:p>
            <w:pPr>
              <w:tabs>
                <w:tab w:val="left" w:pos="1305"/>
                <w:tab w:val="left" w:pos="5733"/>
              </w:tabs>
              <w:spacing w:line="320" w:lineRule="exact"/>
              <w:jc w:val="center"/>
              <w:rPr>
                <w:color w:val="000000"/>
                <w:sz w:val="18"/>
                <w:szCs w:val="18"/>
              </w:rPr>
            </w:pPr>
            <w:r>
              <w:rPr>
                <w:color w:val="000000"/>
                <w:sz w:val="18"/>
                <w:szCs w:val="18"/>
              </w:rPr>
              <w:t>百分比</w:t>
            </w:r>
          </w:p>
        </w:tc>
        <w:tc>
          <w:tcPr>
            <w:tcW w:w="673" w:type="dxa"/>
            <w:noWrap w:val="0"/>
            <w:vAlign w:val="bottom"/>
          </w:tcPr>
          <w:p>
            <w:pPr>
              <w:spacing w:line="320" w:lineRule="exact"/>
              <w:jc w:val="center"/>
              <w:rPr>
                <w:color w:val="000000"/>
                <w:sz w:val="18"/>
                <w:szCs w:val="18"/>
              </w:rPr>
            </w:pPr>
            <w:r>
              <w:rPr>
                <w:color w:val="000000"/>
                <w:sz w:val="18"/>
                <w:szCs w:val="18"/>
              </w:rPr>
              <w:t>0.9</w:t>
            </w:r>
          </w:p>
        </w:tc>
        <w:tc>
          <w:tcPr>
            <w:tcW w:w="674" w:type="dxa"/>
            <w:noWrap w:val="0"/>
            <w:vAlign w:val="bottom"/>
          </w:tcPr>
          <w:p>
            <w:pPr>
              <w:spacing w:line="320" w:lineRule="exact"/>
              <w:jc w:val="center"/>
              <w:rPr>
                <w:color w:val="000000"/>
                <w:sz w:val="18"/>
                <w:szCs w:val="18"/>
              </w:rPr>
            </w:pPr>
            <w:r>
              <w:rPr>
                <w:color w:val="000000"/>
                <w:sz w:val="18"/>
                <w:szCs w:val="18"/>
              </w:rPr>
              <w:t>1.6</w:t>
            </w:r>
          </w:p>
        </w:tc>
        <w:tc>
          <w:tcPr>
            <w:tcW w:w="673" w:type="dxa"/>
            <w:noWrap w:val="0"/>
            <w:vAlign w:val="bottom"/>
          </w:tcPr>
          <w:p>
            <w:pPr>
              <w:spacing w:line="320" w:lineRule="exact"/>
              <w:jc w:val="center"/>
              <w:rPr>
                <w:color w:val="000000"/>
                <w:sz w:val="18"/>
                <w:szCs w:val="18"/>
              </w:rPr>
            </w:pPr>
            <w:r>
              <w:rPr>
                <w:color w:val="000000"/>
                <w:sz w:val="18"/>
                <w:szCs w:val="18"/>
              </w:rPr>
              <w:t>2.4</w:t>
            </w:r>
          </w:p>
        </w:tc>
        <w:tc>
          <w:tcPr>
            <w:tcW w:w="674" w:type="dxa"/>
            <w:noWrap w:val="0"/>
            <w:vAlign w:val="bottom"/>
          </w:tcPr>
          <w:p>
            <w:pPr>
              <w:spacing w:line="320" w:lineRule="exact"/>
              <w:jc w:val="center"/>
              <w:rPr>
                <w:color w:val="000000"/>
                <w:sz w:val="18"/>
                <w:szCs w:val="18"/>
              </w:rPr>
            </w:pPr>
            <w:r>
              <w:rPr>
                <w:color w:val="000000"/>
                <w:sz w:val="18"/>
                <w:szCs w:val="18"/>
              </w:rPr>
              <w:t>5.2</w:t>
            </w:r>
          </w:p>
        </w:tc>
        <w:tc>
          <w:tcPr>
            <w:tcW w:w="673" w:type="dxa"/>
            <w:noWrap w:val="0"/>
            <w:vAlign w:val="bottom"/>
          </w:tcPr>
          <w:p>
            <w:pPr>
              <w:spacing w:line="320" w:lineRule="exact"/>
              <w:jc w:val="center"/>
              <w:rPr>
                <w:color w:val="000000"/>
                <w:sz w:val="18"/>
                <w:szCs w:val="18"/>
              </w:rPr>
            </w:pPr>
            <w:r>
              <w:rPr>
                <w:color w:val="000000"/>
                <w:sz w:val="18"/>
                <w:szCs w:val="18"/>
              </w:rPr>
              <w:t>7.2</w:t>
            </w:r>
          </w:p>
        </w:tc>
        <w:tc>
          <w:tcPr>
            <w:tcW w:w="674" w:type="dxa"/>
            <w:noWrap w:val="0"/>
            <w:vAlign w:val="bottom"/>
          </w:tcPr>
          <w:p>
            <w:pPr>
              <w:spacing w:line="320" w:lineRule="exact"/>
              <w:jc w:val="center"/>
              <w:rPr>
                <w:color w:val="000000"/>
                <w:sz w:val="18"/>
                <w:szCs w:val="18"/>
              </w:rPr>
            </w:pPr>
            <w:r>
              <w:rPr>
                <w:color w:val="000000"/>
                <w:sz w:val="18"/>
                <w:szCs w:val="18"/>
              </w:rPr>
              <w:t>13.5</w:t>
            </w:r>
          </w:p>
        </w:tc>
        <w:tc>
          <w:tcPr>
            <w:tcW w:w="673" w:type="dxa"/>
            <w:noWrap w:val="0"/>
            <w:vAlign w:val="bottom"/>
          </w:tcPr>
          <w:p>
            <w:pPr>
              <w:spacing w:line="320" w:lineRule="exact"/>
              <w:jc w:val="center"/>
              <w:rPr>
                <w:color w:val="000000"/>
                <w:sz w:val="18"/>
                <w:szCs w:val="18"/>
              </w:rPr>
            </w:pPr>
            <w:r>
              <w:rPr>
                <w:color w:val="000000"/>
                <w:sz w:val="18"/>
                <w:szCs w:val="18"/>
              </w:rPr>
              <w:t>32.7</w:t>
            </w:r>
          </w:p>
        </w:tc>
        <w:tc>
          <w:tcPr>
            <w:tcW w:w="674" w:type="dxa"/>
            <w:noWrap w:val="0"/>
            <w:vAlign w:val="bottom"/>
          </w:tcPr>
          <w:p>
            <w:pPr>
              <w:spacing w:line="320" w:lineRule="exact"/>
              <w:jc w:val="center"/>
              <w:rPr>
                <w:color w:val="000000"/>
                <w:sz w:val="18"/>
                <w:szCs w:val="18"/>
              </w:rPr>
            </w:pPr>
            <w:r>
              <w:rPr>
                <w:color w:val="000000"/>
                <w:sz w:val="18"/>
                <w:szCs w:val="18"/>
              </w:rPr>
              <w:t>23.4</w:t>
            </w:r>
          </w:p>
        </w:tc>
        <w:tc>
          <w:tcPr>
            <w:tcW w:w="673" w:type="dxa"/>
            <w:noWrap w:val="0"/>
            <w:vAlign w:val="bottom"/>
          </w:tcPr>
          <w:p>
            <w:pPr>
              <w:spacing w:line="320" w:lineRule="exact"/>
              <w:jc w:val="center"/>
              <w:rPr>
                <w:color w:val="000000"/>
                <w:sz w:val="18"/>
                <w:szCs w:val="18"/>
              </w:rPr>
            </w:pPr>
            <w:r>
              <w:rPr>
                <w:color w:val="000000"/>
                <w:sz w:val="18"/>
                <w:szCs w:val="18"/>
              </w:rPr>
              <w:t>10.2</w:t>
            </w:r>
          </w:p>
        </w:tc>
        <w:tc>
          <w:tcPr>
            <w:tcW w:w="674" w:type="dxa"/>
            <w:noWrap w:val="0"/>
            <w:vAlign w:val="bottom"/>
          </w:tcPr>
          <w:p>
            <w:pPr>
              <w:spacing w:line="320" w:lineRule="exact"/>
              <w:jc w:val="center"/>
              <w:rPr>
                <w:color w:val="000000"/>
                <w:sz w:val="18"/>
                <w:szCs w:val="18"/>
              </w:rPr>
            </w:pPr>
            <w:r>
              <w:rPr>
                <w:color w:val="000000"/>
                <w:sz w:val="18"/>
                <w:szCs w:val="18"/>
              </w:rPr>
              <w:t>5.5</w:t>
            </w:r>
          </w:p>
        </w:tc>
        <w:tc>
          <w:tcPr>
            <w:tcW w:w="673" w:type="dxa"/>
            <w:noWrap w:val="0"/>
            <w:vAlign w:val="bottom"/>
          </w:tcPr>
          <w:p>
            <w:pPr>
              <w:spacing w:line="320" w:lineRule="exact"/>
              <w:jc w:val="center"/>
              <w:rPr>
                <w:color w:val="000000"/>
                <w:sz w:val="18"/>
                <w:szCs w:val="18"/>
              </w:rPr>
            </w:pPr>
            <w:r>
              <w:rPr>
                <w:color w:val="000000"/>
                <w:sz w:val="18"/>
                <w:szCs w:val="18"/>
              </w:rPr>
              <w:t>2.5</w:t>
            </w:r>
          </w:p>
        </w:tc>
        <w:tc>
          <w:tcPr>
            <w:tcW w:w="674" w:type="dxa"/>
            <w:noWrap w:val="0"/>
            <w:vAlign w:val="bottom"/>
          </w:tcPr>
          <w:p>
            <w:pPr>
              <w:spacing w:line="320" w:lineRule="exact"/>
              <w:jc w:val="center"/>
              <w:rPr>
                <w:color w:val="000000"/>
                <w:sz w:val="18"/>
                <w:szCs w:val="18"/>
              </w:rPr>
            </w:pPr>
            <w:r>
              <w:rPr>
                <w:color w:val="000000"/>
                <w:sz w:val="18"/>
                <w:szCs w:val="18"/>
              </w:rPr>
              <w:t>1.2</w:t>
            </w:r>
          </w:p>
        </w:tc>
      </w:tr>
    </w:tbl>
    <w:p>
      <w:pPr>
        <w:jc w:val="center"/>
        <w:rPr>
          <w:b/>
          <w:color w:val="000000"/>
          <w:sz w:val="24"/>
          <w:szCs w:val="24"/>
        </w:rPr>
      </w:pPr>
      <w:bookmarkStart w:id="13" w:name="_Toc316907160"/>
    </w:p>
    <w:p>
      <w:pPr>
        <w:jc w:val="center"/>
        <w:rPr>
          <w:rFonts w:hint="eastAsia"/>
          <w:b/>
          <w:color w:val="000000"/>
          <w:sz w:val="24"/>
          <w:szCs w:val="24"/>
        </w:rPr>
      </w:pPr>
      <w:r>
        <w:rPr>
          <w:rFonts w:hint="eastAsia"/>
          <w:b/>
          <w:color w:val="000000"/>
          <w:sz w:val="24"/>
          <w:szCs w:val="24"/>
        </w:rPr>
        <w:drawing>
          <wp:inline distT="0" distB="0" distL="114300" distR="114300">
            <wp:extent cx="4285615" cy="2908300"/>
            <wp:effectExtent l="0" t="0" r="635" b="6350"/>
            <wp:docPr id="7" name="图片 5" descr="C:\Users\19063\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19063\Desktop\图片1.png图片1"/>
                    <pic:cNvPicPr>
                      <a:picLocks noChangeAspect="1"/>
                    </pic:cNvPicPr>
                  </pic:nvPicPr>
                  <pic:blipFill>
                    <a:blip r:embed="rId9">
                      <a:clrChange>
                        <a:clrFrom>
                          <a:srgbClr val="FFFFFF"/>
                        </a:clrFrom>
                        <a:clrTo>
                          <a:srgbClr val="FFFFFF">
                            <a:alpha val="0"/>
                          </a:srgbClr>
                        </a:clrTo>
                      </a:clrChange>
                      <a:lum contrast="6000"/>
                    </a:blip>
                    <a:stretch>
                      <a:fillRect/>
                    </a:stretch>
                  </pic:blipFill>
                  <pic:spPr>
                    <a:xfrm>
                      <a:off x="0" y="0"/>
                      <a:ext cx="4285615" cy="2908300"/>
                    </a:xfrm>
                    <a:prstGeom prst="rect">
                      <a:avLst/>
                    </a:prstGeom>
                    <a:noFill/>
                    <a:ln>
                      <a:noFill/>
                    </a:ln>
                  </pic:spPr>
                </pic:pic>
              </a:graphicData>
            </a:graphic>
          </wp:inline>
        </w:drawing>
      </w:r>
    </w:p>
    <w:p>
      <w:pPr>
        <w:jc w:val="center"/>
        <w:rPr>
          <w:b/>
          <w:color w:val="000000"/>
          <w:sz w:val="24"/>
          <w:szCs w:val="24"/>
        </w:rPr>
      </w:pPr>
      <w:r>
        <w:rPr>
          <w:b/>
          <w:color w:val="000000"/>
          <w:sz w:val="24"/>
          <w:szCs w:val="24"/>
        </w:rPr>
        <w:t>图2-</w:t>
      </w:r>
      <w:r>
        <w:rPr>
          <w:rFonts w:hint="eastAsia"/>
          <w:b/>
          <w:color w:val="000000"/>
          <w:sz w:val="24"/>
          <w:szCs w:val="24"/>
        </w:rPr>
        <w:t>4</w:t>
      </w:r>
      <w:r>
        <w:rPr>
          <w:b/>
          <w:color w:val="000000"/>
          <w:sz w:val="24"/>
          <w:szCs w:val="24"/>
        </w:rPr>
        <w:t xml:space="preserve">  1967～2017年泰安市降水量柱状图</w:t>
      </w:r>
      <w:bookmarkEnd w:id="13"/>
    </w:p>
    <w:p>
      <w:pPr>
        <w:pStyle w:val="4"/>
        <w:spacing w:before="20" w:after="140" w:line="240" w:lineRule="auto"/>
        <w:rPr>
          <w:rFonts w:ascii="Times New Roman" w:hAnsi="Times New Roman" w:eastAsia="宋体"/>
          <w:sz w:val="28"/>
          <w:szCs w:val="16"/>
        </w:rPr>
      </w:pPr>
      <w:bookmarkStart w:id="14" w:name="_Toc1079"/>
      <w:r>
        <w:rPr>
          <w:rFonts w:ascii="Times New Roman" w:hAnsi="Times New Roman" w:eastAsia="宋体"/>
          <w:sz w:val="28"/>
          <w:szCs w:val="16"/>
        </w:rPr>
        <w:fldChar w:fldCharType="begin"/>
      </w:r>
      <w:r>
        <w:rPr>
          <w:rFonts w:ascii="Times New Roman" w:hAnsi="Times New Roman" w:eastAsia="宋体"/>
          <w:sz w:val="28"/>
          <w:szCs w:val="16"/>
        </w:rPr>
        <w:instrText xml:space="preserve"> HYPERLINK \l _Toc8346 </w:instrText>
      </w:r>
      <w:r>
        <w:rPr>
          <w:rFonts w:ascii="Times New Roman" w:hAnsi="Times New Roman" w:eastAsia="宋体"/>
          <w:sz w:val="28"/>
          <w:szCs w:val="16"/>
        </w:rPr>
        <w:fldChar w:fldCharType="separate"/>
      </w:r>
      <w:r>
        <w:rPr>
          <w:rFonts w:hint="eastAsia" w:ascii="Times New Roman" w:hAnsi="Times New Roman" w:eastAsia="宋体"/>
          <w:sz w:val="28"/>
          <w:szCs w:val="16"/>
          <w:lang w:val="en-US" w:eastAsia="zh-CN"/>
        </w:rPr>
        <w:t xml:space="preserve"> </w:t>
      </w:r>
      <w:r>
        <w:rPr>
          <w:rFonts w:hint="eastAsia" w:ascii="Times New Roman" w:hAnsi="Times New Roman" w:eastAsia="楷体" w:cs="Times New Roman"/>
          <w:b/>
          <w:bCs/>
          <w:kern w:val="2"/>
          <w:sz w:val="28"/>
          <w:szCs w:val="18"/>
          <w:lang w:val="en-US" w:eastAsia="zh-CN" w:bidi="ar-SA"/>
        </w:rPr>
        <w:t xml:space="preserve">  </w:t>
      </w:r>
      <w:r>
        <w:rPr>
          <w:rFonts w:hint="eastAsia" w:ascii="仿宋" w:hAnsi="仿宋" w:eastAsia="仿宋" w:cs="仿宋"/>
          <w:b/>
          <w:bCs/>
          <w:kern w:val="2"/>
          <w:sz w:val="32"/>
          <w:szCs w:val="32"/>
          <w:lang w:val="en-US" w:eastAsia="zh-CN" w:bidi="ar-SA"/>
        </w:rPr>
        <w:t xml:space="preserve"> </w:t>
      </w:r>
      <w:r>
        <w:rPr>
          <w:rFonts w:hint="eastAsia" w:ascii="楷体_GB2312" w:hAnsi="Times New Roman" w:eastAsia="楷体_GB2312" w:cs="Times New Roman"/>
          <w:b/>
          <w:bCs w:val="0"/>
          <w:color w:val="000000"/>
          <w:kern w:val="2"/>
          <w:sz w:val="32"/>
          <w:szCs w:val="32"/>
          <w:lang w:val="en-US" w:eastAsia="zh-CN" w:bidi="ar-SA"/>
        </w:rPr>
        <w:t>4.社会经济状况</w:t>
      </w:r>
      <w:r>
        <w:rPr>
          <w:rFonts w:ascii="Times New Roman" w:hAnsi="Times New Roman" w:eastAsia="宋体"/>
          <w:sz w:val="28"/>
          <w:szCs w:val="16"/>
        </w:rPr>
        <w:fldChar w:fldCharType="end"/>
      </w:r>
      <w:bookmarkEnd w:id="14"/>
    </w:p>
    <w:p>
      <w:pPr>
        <w:pStyle w:val="4"/>
        <w:spacing w:before="20" w:after="140" w:line="240" w:lineRule="auto"/>
        <w:ind w:firstLine="640" w:firstLineChars="200"/>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泰山景区位于举世闻名的泰山脚下，全区共有3个乡镇。</w:t>
      </w:r>
    </w:p>
    <w:p>
      <w:pPr>
        <w:pStyle w:val="4"/>
        <w:spacing w:before="20" w:after="140" w:line="240" w:lineRule="auto"/>
        <w:ind w:firstLine="640" w:firstLineChars="200"/>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泰山景区在市委、市政府的正确领导和市直有关部门的大力支持下，认真贯彻落实中央、省、市关于加快发展民营经济的指示精神，把发展民营经济作为振兴泰山景区经济的战略重点来抓，思想上放胆，工作上放手，政策上放宽，机制上放活，全区</w:t>
      </w:r>
      <w:r>
        <w:rPr>
          <w:rFonts w:hint="eastAsia" w:ascii="仿宋_GB2312" w:hAnsi="仿宋_GB2312" w:eastAsia="仿宋_GB2312" w:cs="仿宋_GB2312"/>
          <w:b w:val="0"/>
          <w:bCs w:val="0"/>
          <w:color w:val="000000"/>
          <w:kern w:val="2"/>
          <w:sz w:val="32"/>
          <w:szCs w:val="32"/>
          <w:lang w:val="en-US" w:eastAsia="zh-CN" w:bidi="ar-SA"/>
        </w:rPr>
        <w:fldChar w:fldCharType="begin"/>
      </w:r>
      <w:r>
        <w:rPr>
          <w:rFonts w:hint="eastAsia" w:ascii="仿宋_GB2312" w:hAnsi="仿宋_GB2312" w:eastAsia="仿宋_GB2312" w:cs="仿宋_GB2312"/>
          <w:b w:val="0"/>
          <w:bCs w:val="0"/>
          <w:color w:val="000000"/>
          <w:kern w:val="2"/>
          <w:sz w:val="32"/>
          <w:szCs w:val="32"/>
          <w:lang w:val="en-US" w:eastAsia="zh-CN" w:bidi="ar-SA"/>
        </w:rPr>
        <w:instrText xml:space="preserve"> HYPERLINK "https://baike.baidu.com/item/%E4%B8%AA%E4%BD%93%E7%A7%81%E8%90%A5%E7%BB%8F%E6%B5%8E" \t "https://baike.baidu.com/item/%E6%B3%B0%E5%B1%B1/_blank" </w:instrText>
      </w:r>
      <w:r>
        <w:rPr>
          <w:rFonts w:hint="eastAsia" w:ascii="仿宋_GB2312" w:hAnsi="仿宋_GB2312" w:eastAsia="仿宋_GB2312" w:cs="仿宋_GB2312"/>
          <w:b w:val="0"/>
          <w:bCs w:val="0"/>
          <w:color w:val="000000"/>
          <w:kern w:val="2"/>
          <w:sz w:val="32"/>
          <w:szCs w:val="32"/>
          <w:lang w:val="en-US" w:eastAsia="zh-CN" w:bidi="ar-SA"/>
        </w:rPr>
        <w:fldChar w:fldCharType="separate"/>
      </w:r>
      <w:r>
        <w:rPr>
          <w:rFonts w:hint="eastAsia" w:ascii="仿宋_GB2312" w:hAnsi="仿宋_GB2312" w:eastAsia="仿宋_GB2312" w:cs="仿宋_GB2312"/>
          <w:b w:val="0"/>
          <w:bCs w:val="0"/>
          <w:color w:val="000000"/>
          <w:kern w:val="2"/>
          <w:sz w:val="32"/>
          <w:szCs w:val="32"/>
          <w:lang w:val="en-US" w:eastAsia="zh-CN" w:bidi="ar-SA"/>
        </w:rPr>
        <w:t>个体私营经济</w:t>
      </w:r>
      <w:r>
        <w:rPr>
          <w:rFonts w:hint="eastAsia" w:ascii="仿宋_GB2312" w:hAnsi="仿宋_GB2312" w:eastAsia="仿宋_GB2312" w:cs="仿宋_GB2312"/>
          <w:b w:val="0"/>
          <w:bCs w:val="0"/>
          <w:color w:val="000000"/>
          <w:kern w:val="2"/>
          <w:sz w:val="32"/>
          <w:szCs w:val="32"/>
          <w:lang w:val="en-US" w:eastAsia="zh-CN" w:bidi="ar-SA"/>
        </w:rPr>
        <w:fldChar w:fldCharType="end"/>
      </w:r>
      <w:r>
        <w:rPr>
          <w:rFonts w:hint="eastAsia" w:ascii="仿宋_GB2312" w:hAnsi="仿宋_GB2312" w:eastAsia="仿宋_GB2312" w:cs="仿宋_GB2312"/>
          <w:b w:val="0"/>
          <w:bCs w:val="0"/>
          <w:color w:val="000000"/>
          <w:kern w:val="2"/>
          <w:sz w:val="32"/>
          <w:szCs w:val="32"/>
          <w:lang w:val="en-US" w:eastAsia="zh-CN" w:bidi="ar-SA"/>
        </w:rPr>
        <w:t>实现了持续、快速、健康发展。</w:t>
      </w:r>
    </w:p>
    <w:p/>
    <w:p>
      <w:pPr>
        <w:ind w:firstLine="636" w:firstLineChars="198"/>
        <w:outlineLvl w:val="1"/>
        <w:rPr>
          <w:rFonts w:ascii="楷体_GB2312" w:eastAsia="楷体_GB2312"/>
          <w:b/>
          <w:color w:val="000000"/>
          <w:sz w:val="32"/>
          <w:szCs w:val="32"/>
        </w:rPr>
      </w:pPr>
      <w:bookmarkStart w:id="15" w:name="_Toc10192847"/>
      <w:bookmarkStart w:id="16" w:name="_Toc14699589"/>
      <w:r>
        <w:rPr>
          <w:rFonts w:hint="eastAsia" w:ascii="楷体_GB2312" w:eastAsia="楷体_GB2312"/>
          <w:b/>
          <w:color w:val="000000"/>
          <w:sz w:val="32"/>
          <w:szCs w:val="32"/>
        </w:rPr>
        <w:t>（二）畜禽养殖</w:t>
      </w:r>
      <w:r>
        <w:rPr>
          <w:rFonts w:ascii="楷体_GB2312" w:eastAsia="楷体_GB2312"/>
          <w:b/>
          <w:color w:val="000000"/>
          <w:sz w:val="32"/>
          <w:szCs w:val="32"/>
        </w:rPr>
        <w:t>业</w:t>
      </w:r>
      <w:r>
        <w:rPr>
          <w:rFonts w:hint="eastAsia" w:ascii="楷体_GB2312" w:eastAsia="楷体_GB2312"/>
          <w:b/>
          <w:color w:val="000000"/>
          <w:sz w:val="32"/>
          <w:szCs w:val="32"/>
        </w:rPr>
        <w:t>现状</w:t>
      </w:r>
    </w:p>
    <w:bookmarkEnd w:id="15"/>
    <w:bookmarkEnd w:id="16"/>
    <w:p>
      <w:pPr>
        <w:pStyle w:val="43"/>
        <w:ind w:firstLine="564"/>
      </w:pPr>
      <w:r>
        <w:rPr>
          <w:rFonts w:hint="eastAsia" w:ascii="楷体_GB2312" w:hAnsi="Times New Roman" w:eastAsia="楷体_GB2312" w:cs="Times New Roman"/>
          <w:b/>
          <w:bCs w:val="0"/>
          <w:color w:val="000000"/>
          <w:kern w:val="2"/>
          <w:sz w:val="32"/>
          <w:szCs w:val="32"/>
          <w:lang w:val="en-US" w:eastAsia="zh-CN" w:bidi="ar-SA"/>
        </w:rPr>
        <w:t>1.规模养殖场</w:t>
      </w:r>
    </w:p>
    <w:p>
      <w:pPr>
        <w:pStyle w:val="44"/>
        <w:ind w:firstLine="640" w:firstLineChars="200"/>
        <w:jc w:val="left"/>
        <w:rPr>
          <w:rFonts w:hint="eastAsia" w:ascii="Times New Roman" w:hAnsi="Times New Roman" w:eastAsia="仿宋_GB2312" w:cs="Times New Roman"/>
          <w:b w:val="0"/>
          <w:color w:val="000000"/>
          <w:kern w:val="2"/>
          <w:sz w:val="32"/>
          <w:szCs w:val="32"/>
          <w:lang w:val="en-US" w:eastAsia="zh-CN" w:bidi="ar-SA"/>
        </w:rPr>
      </w:pPr>
      <w:r>
        <w:rPr>
          <w:rFonts w:hint="eastAsia" w:ascii="Times New Roman" w:hAnsi="Times New Roman" w:eastAsia="仿宋_GB2312" w:cs="Times New Roman"/>
          <w:b w:val="0"/>
          <w:color w:val="000000"/>
          <w:kern w:val="2"/>
          <w:sz w:val="32"/>
          <w:szCs w:val="32"/>
          <w:lang w:val="en-US" w:eastAsia="zh-CN" w:bidi="ar-SA"/>
        </w:rPr>
        <w:t>我省目前执行的规模养殖场标准为：生猪设计年出栏量500头以上；奶牛设计年存栏量100头以上；肉鸡设计年出栏量4万只以上；肉鸭设计年出栏量5万只以上；蛋鸡、蛋鸭设计年计存栏量1万只以上，肉牛设计年出栏量100头以上；羊设计年出栏量500头以上；兔设计存栏量3000只以上。表</w:t>
      </w:r>
      <w:r>
        <w:rPr>
          <w:rFonts w:hint="eastAsia" w:eastAsia="仿宋_GB2312" w:cs="Times New Roman"/>
          <w:b w:val="0"/>
          <w:color w:val="000000"/>
          <w:kern w:val="2"/>
          <w:sz w:val="32"/>
          <w:szCs w:val="32"/>
          <w:lang w:val="en-US" w:eastAsia="zh-CN" w:bidi="ar-SA"/>
        </w:rPr>
        <w:t>3</w:t>
      </w:r>
      <w:r>
        <w:rPr>
          <w:rFonts w:hint="eastAsia" w:ascii="Times New Roman" w:hAnsi="Times New Roman" w:eastAsia="仿宋_GB2312" w:cs="Times New Roman"/>
          <w:b w:val="0"/>
          <w:color w:val="000000"/>
          <w:kern w:val="2"/>
          <w:sz w:val="32"/>
          <w:szCs w:val="32"/>
          <w:lang w:val="en-US" w:eastAsia="zh-CN" w:bidi="ar-SA"/>
        </w:rPr>
        <w:t>-</w:t>
      </w:r>
      <w:r>
        <w:rPr>
          <w:rFonts w:hint="eastAsia" w:eastAsia="仿宋_GB2312" w:cs="Times New Roman"/>
          <w:b w:val="0"/>
          <w:color w:val="000000"/>
          <w:kern w:val="2"/>
          <w:sz w:val="32"/>
          <w:szCs w:val="32"/>
          <w:lang w:val="en-US" w:eastAsia="zh-CN" w:bidi="ar-SA"/>
        </w:rPr>
        <w:t>1</w:t>
      </w:r>
      <w:r>
        <w:rPr>
          <w:rFonts w:hint="eastAsia" w:ascii="Times New Roman" w:hAnsi="Times New Roman" w:eastAsia="仿宋_GB2312" w:cs="Times New Roman"/>
          <w:b w:val="0"/>
          <w:color w:val="000000"/>
          <w:kern w:val="2"/>
          <w:sz w:val="32"/>
          <w:szCs w:val="32"/>
          <w:lang w:val="en-US" w:eastAsia="zh-CN" w:bidi="ar-SA"/>
        </w:rPr>
        <w:t>-1为</w:t>
      </w:r>
      <w:r>
        <w:rPr>
          <w:rFonts w:hint="eastAsia" w:eastAsia="仿宋_GB2312" w:cs="Times New Roman"/>
          <w:b w:val="0"/>
          <w:color w:val="000000"/>
          <w:kern w:val="2"/>
          <w:sz w:val="32"/>
          <w:szCs w:val="32"/>
          <w:lang w:val="en-US" w:eastAsia="zh-CN" w:bidi="ar-SA"/>
        </w:rPr>
        <w:t>泰山景区各乡镇</w:t>
      </w:r>
      <w:r>
        <w:rPr>
          <w:rFonts w:hint="eastAsia" w:ascii="Times New Roman" w:hAnsi="Times New Roman" w:eastAsia="仿宋_GB2312" w:cs="Times New Roman"/>
          <w:b w:val="0"/>
          <w:color w:val="000000"/>
          <w:kern w:val="2"/>
          <w:sz w:val="32"/>
          <w:szCs w:val="32"/>
          <w:lang w:val="en-US" w:eastAsia="zh-CN" w:bidi="ar-SA"/>
        </w:rPr>
        <w:t>畜禽规模养殖场养殖类型统计表。</w:t>
      </w:r>
    </w:p>
    <w:p>
      <w:pPr>
        <w:pStyle w:val="44"/>
        <w:ind w:firstLine="640" w:firstLineChars="200"/>
        <w:jc w:val="left"/>
        <w:rPr>
          <w:rFonts w:hint="eastAsia" w:ascii="Times New Roman" w:hAnsi="Times New Roman" w:eastAsia="仿宋_GB2312" w:cs="Times New Roman"/>
          <w:b w:val="0"/>
          <w:color w:val="000000"/>
          <w:kern w:val="2"/>
          <w:sz w:val="32"/>
          <w:szCs w:val="32"/>
          <w:lang w:val="en-US" w:eastAsia="zh-CN" w:bidi="ar-SA"/>
        </w:rPr>
      </w:pPr>
    </w:p>
    <w:p>
      <w:pPr>
        <w:pStyle w:val="44"/>
      </w:pPr>
      <w:r>
        <w:rPr>
          <w:rFonts w:hint="eastAsia" w:ascii="仿宋" w:hAnsi="仿宋" w:eastAsia="仿宋" w:cs="仿宋"/>
        </w:rPr>
        <w:t>表</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1</w:t>
      </w:r>
      <w:r>
        <w:rPr>
          <w:rFonts w:hint="eastAsia" w:ascii="仿宋" w:hAnsi="仿宋" w:eastAsia="仿宋" w:cs="仿宋"/>
        </w:rPr>
        <w:t xml:space="preserve">-1 </w:t>
      </w:r>
      <w:r>
        <w:rPr>
          <w:rFonts w:hint="eastAsia" w:ascii="仿宋" w:hAnsi="仿宋" w:eastAsia="仿宋" w:cs="仿宋"/>
          <w:lang w:eastAsia="zh-CN"/>
        </w:rPr>
        <w:t>泰山景区</w:t>
      </w:r>
      <w:r>
        <w:rPr>
          <w:rFonts w:hint="eastAsia" w:ascii="仿宋" w:hAnsi="仿宋" w:eastAsia="仿宋" w:cs="仿宋"/>
        </w:rPr>
        <w:t>畜禽规模养殖场养殖类型统计表（单位：家）</w:t>
      </w:r>
    </w:p>
    <w:tbl>
      <w:tblPr>
        <w:tblStyle w:val="18"/>
        <w:tblW w:w="9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237"/>
        <w:gridCol w:w="1237"/>
        <w:gridCol w:w="1237"/>
        <w:gridCol w:w="1237"/>
        <w:gridCol w:w="1237"/>
        <w:gridCol w:w="1237"/>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37" w:type="dxa"/>
            <w:noWrap/>
            <w:vAlign w:val="center"/>
          </w:tcPr>
          <w:p>
            <w:pPr>
              <w:pStyle w:val="45"/>
              <w:rPr>
                <w:rFonts w:hint="eastAsia" w:ascii="仿宋" w:hAnsi="仿宋" w:eastAsia="仿宋" w:cs="仿宋"/>
                <w:b/>
                <w:sz w:val="24"/>
                <w:szCs w:val="24"/>
                <w:lang w:eastAsia="zh-CN"/>
              </w:rPr>
            </w:pPr>
            <w:r>
              <w:rPr>
                <w:rFonts w:hint="eastAsia" w:ascii="仿宋" w:hAnsi="仿宋" w:eastAsia="仿宋" w:cs="仿宋"/>
                <w:b/>
                <w:sz w:val="24"/>
                <w:szCs w:val="24"/>
                <w:lang w:eastAsia="zh-CN"/>
              </w:rPr>
              <w:t>乡镇</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生猪</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肉牛</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奶牛</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羊</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蛋鸡</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肉鸡</w:t>
            </w:r>
          </w:p>
        </w:tc>
        <w:tc>
          <w:tcPr>
            <w:tcW w:w="1238"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noWrap/>
            <w:vAlign w:val="center"/>
          </w:tcPr>
          <w:p>
            <w:pPr>
              <w:pStyle w:val="45"/>
              <w:rPr>
                <w:rFonts w:hint="eastAsia" w:ascii="仿宋" w:hAnsi="仿宋" w:eastAsia="仿宋" w:cs="仿宋"/>
                <w:sz w:val="24"/>
                <w:szCs w:val="24"/>
                <w:lang w:eastAsia="zh-CN"/>
              </w:rPr>
            </w:pPr>
            <w:r>
              <w:rPr>
                <w:rFonts w:hint="eastAsia" w:ascii="仿宋" w:hAnsi="仿宋" w:eastAsia="仿宋" w:cs="仿宋"/>
                <w:sz w:val="24"/>
                <w:szCs w:val="24"/>
                <w:lang w:eastAsia="zh-CN"/>
              </w:rPr>
              <w:t>大津口乡</w:t>
            </w:r>
          </w:p>
        </w:tc>
        <w:tc>
          <w:tcPr>
            <w:tcW w:w="1237" w:type="dxa"/>
            <w:noWrap/>
            <w:vAlign w:val="center"/>
          </w:tcPr>
          <w:p>
            <w:pPr>
              <w:pStyle w:val="45"/>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1</w:t>
            </w:r>
          </w:p>
        </w:tc>
        <w:tc>
          <w:tcPr>
            <w:tcW w:w="1237"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8"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noWrap/>
            <w:vAlign w:val="center"/>
          </w:tcPr>
          <w:p>
            <w:pPr>
              <w:pStyle w:val="45"/>
              <w:rPr>
                <w:rFonts w:hint="eastAsia" w:ascii="仿宋" w:hAnsi="仿宋" w:eastAsia="仿宋" w:cs="仿宋"/>
                <w:sz w:val="24"/>
                <w:szCs w:val="24"/>
                <w:lang w:eastAsia="zh-CN"/>
              </w:rPr>
            </w:pPr>
            <w:r>
              <w:rPr>
                <w:rFonts w:hint="eastAsia" w:ascii="仿宋" w:hAnsi="仿宋" w:eastAsia="仿宋" w:cs="仿宋"/>
                <w:sz w:val="24"/>
                <w:szCs w:val="24"/>
                <w:lang w:eastAsia="zh-CN"/>
              </w:rPr>
              <w:t>黄前镇</w:t>
            </w:r>
          </w:p>
        </w:tc>
        <w:tc>
          <w:tcPr>
            <w:tcW w:w="1237" w:type="dxa"/>
            <w:noWrap/>
            <w:vAlign w:val="center"/>
          </w:tcPr>
          <w:p>
            <w:pPr>
              <w:jc w:val="center"/>
              <w:rPr>
                <w:rFonts w:hint="eastAsia" w:ascii="仿宋" w:hAnsi="仿宋" w:eastAsia="仿宋" w:cs="仿宋"/>
                <w:sz w:val="24"/>
                <w:szCs w:val="24"/>
              </w:rPr>
            </w:pPr>
            <w:r>
              <w:rPr>
                <w:rFonts w:hint="eastAsia" w:ascii="仿宋" w:hAnsi="仿宋" w:eastAsia="仿宋" w:cs="仿宋"/>
                <w:sz w:val="24"/>
                <w:szCs w:val="24"/>
                <w:lang w:val="en-US" w:eastAsia="zh-CN"/>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8"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noWrap/>
            <w:vAlign w:val="center"/>
          </w:tcPr>
          <w:p>
            <w:pPr>
              <w:pStyle w:val="45"/>
              <w:rPr>
                <w:rFonts w:hint="eastAsia" w:ascii="仿宋" w:hAnsi="仿宋" w:eastAsia="仿宋" w:cs="仿宋"/>
                <w:sz w:val="24"/>
                <w:szCs w:val="24"/>
                <w:lang w:eastAsia="zh-CN"/>
              </w:rPr>
            </w:pPr>
            <w:r>
              <w:rPr>
                <w:rFonts w:hint="eastAsia" w:ascii="仿宋" w:hAnsi="仿宋" w:eastAsia="仿宋" w:cs="仿宋"/>
                <w:sz w:val="24"/>
                <w:szCs w:val="24"/>
                <w:lang w:eastAsia="zh-CN"/>
              </w:rPr>
              <w:t>下港镇</w:t>
            </w:r>
          </w:p>
        </w:tc>
        <w:tc>
          <w:tcPr>
            <w:tcW w:w="1237" w:type="dxa"/>
            <w:noWrap/>
            <w:vAlign w:val="center"/>
          </w:tcPr>
          <w:p>
            <w:pPr>
              <w:jc w:val="center"/>
              <w:rPr>
                <w:rFonts w:hint="eastAsia" w:ascii="仿宋" w:hAnsi="仿宋" w:eastAsia="仿宋" w:cs="仿宋"/>
                <w:sz w:val="24"/>
                <w:szCs w:val="24"/>
              </w:rPr>
            </w:pPr>
            <w:r>
              <w:rPr>
                <w:rFonts w:hint="eastAsia" w:ascii="仿宋" w:hAnsi="仿宋" w:eastAsia="仿宋" w:cs="仿宋"/>
                <w:sz w:val="24"/>
                <w:szCs w:val="24"/>
                <w:lang w:val="en-US" w:eastAsia="zh-CN"/>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32</w:t>
            </w:r>
          </w:p>
        </w:tc>
        <w:tc>
          <w:tcPr>
            <w:tcW w:w="1238"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noWrap/>
            <w:vAlign w:val="center"/>
          </w:tcPr>
          <w:p>
            <w:pPr>
              <w:pStyle w:val="45"/>
              <w:rPr>
                <w:rFonts w:hint="eastAsia" w:ascii="仿宋" w:hAnsi="仿宋" w:eastAsia="仿宋" w:cs="仿宋"/>
                <w:sz w:val="24"/>
                <w:szCs w:val="24"/>
              </w:rPr>
            </w:pPr>
            <w:r>
              <w:rPr>
                <w:rFonts w:hint="eastAsia" w:ascii="仿宋" w:hAnsi="仿宋" w:eastAsia="仿宋" w:cs="仿宋"/>
                <w:sz w:val="24"/>
                <w:szCs w:val="24"/>
              </w:rPr>
              <w:t>总计</w:t>
            </w:r>
          </w:p>
        </w:tc>
        <w:tc>
          <w:tcPr>
            <w:tcW w:w="1237" w:type="dxa"/>
            <w:noWrap/>
            <w:vAlign w:val="center"/>
          </w:tcPr>
          <w:p>
            <w:pPr>
              <w:jc w:val="center"/>
              <w:rPr>
                <w:rFonts w:hint="eastAsia" w:ascii="仿宋" w:hAnsi="仿宋" w:eastAsia="仿宋" w:cs="仿宋"/>
                <w:sz w:val="24"/>
                <w:szCs w:val="24"/>
              </w:rPr>
            </w:pPr>
            <w:r>
              <w:rPr>
                <w:rFonts w:hint="eastAsia" w:ascii="仿宋" w:hAnsi="仿宋" w:eastAsia="仿宋" w:cs="仿宋"/>
                <w:sz w:val="24"/>
                <w:szCs w:val="24"/>
                <w:lang w:val="en-US" w:eastAsia="zh-CN"/>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1</w:t>
            </w:r>
          </w:p>
        </w:tc>
        <w:tc>
          <w:tcPr>
            <w:tcW w:w="1237"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32</w:t>
            </w:r>
          </w:p>
        </w:tc>
        <w:tc>
          <w:tcPr>
            <w:tcW w:w="1238"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33</w:t>
            </w:r>
          </w:p>
        </w:tc>
      </w:tr>
    </w:tbl>
    <w:p>
      <w:pPr>
        <w:ind w:firstLine="640" w:firstLineChars="200"/>
        <w:rPr>
          <w:rFonts w:hint="eastAsia" w:eastAsia="仿宋_GB2312"/>
          <w:color w:val="000000"/>
          <w:sz w:val="32"/>
          <w:szCs w:val="32"/>
        </w:rPr>
      </w:pPr>
    </w:p>
    <w:p>
      <w:pPr>
        <w:pStyle w:val="44"/>
        <w:rPr>
          <w:rFonts w:hint="eastAsia" w:ascii="仿宋" w:hAnsi="仿宋" w:eastAsia="仿宋" w:cs="仿宋"/>
          <w:lang w:eastAsia="zh-CN"/>
        </w:rPr>
      </w:pPr>
      <w:r>
        <w:rPr>
          <w:rFonts w:hint="eastAsia" w:ascii="仿宋" w:hAnsi="仿宋" w:eastAsia="仿宋" w:cs="仿宋"/>
        </w:rPr>
        <w:t>表</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1</w:t>
      </w:r>
      <w:r>
        <w:rPr>
          <w:rFonts w:hint="eastAsia" w:ascii="仿宋" w:hAnsi="仿宋" w:eastAsia="仿宋" w:cs="仿宋"/>
        </w:rPr>
        <w:t>-2</w:t>
      </w:r>
      <w:r>
        <w:rPr>
          <w:rFonts w:hint="eastAsia" w:ascii="仿宋" w:hAnsi="仿宋" w:eastAsia="仿宋" w:cs="仿宋"/>
          <w:lang w:eastAsia="zh-CN"/>
        </w:rPr>
        <w:t>泰山景区</w:t>
      </w:r>
      <w:r>
        <w:rPr>
          <w:rFonts w:hint="eastAsia" w:ascii="仿宋" w:hAnsi="仿宋" w:eastAsia="仿宋" w:cs="仿宋"/>
        </w:rPr>
        <w:t>规模养殖场总体情况</w:t>
      </w:r>
      <w:r>
        <w:rPr>
          <w:rFonts w:hint="eastAsia" w:ascii="仿宋" w:hAnsi="仿宋" w:eastAsia="仿宋" w:cs="仿宋"/>
          <w:lang w:eastAsia="zh-CN"/>
        </w:rPr>
        <w:t>（单位：只）</w:t>
      </w:r>
    </w:p>
    <w:tbl>
      <w:tblPr>
        <w:tblStyle w:val="18"/>
        <w:tblW w:w="9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005"/>
        <w:gridCol w:w="1072"/>
        <w:gridCol w:w="1036"/>
        <w:gridCol w:w="1037"/>
        <w:gridCol w:w="1075"/>
        <w:gridCol w:w="1076"/>
        <w:gridCol w:w="1166"/>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2" w:type="dxa"/>
            <w:vMerge w:val="restart"/>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养殖类型</w:t>
            </w:r>
          </w:p>
        </w:tc>
        <w:tc>
          <w:tcPr>
            <w:tcW w:w="2077" w:type="dxa"/>
            <w:gridSpan w:val="2"/>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大津口乡</w:t>
            </w:r>
          </w:p>
        </w:tc>
        <w:tc>
          <w:tcPr>
            <w:tcW w:w="2073" w:type="dxa"/>
            <w:gridSpan w:val="2"/>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黄前镇</w:t>
            </w:r>
          </w:p>
        </w:tc>
        <w:tc>
          <w:tcPr>
            <w:tcW w:w="2151" w:type="dxa"/>
            <w:gridSpan w:val="2"/>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下港镇</w:t>
            </w:r>
          </w:p>
        </w:tc>
        <w:tc>
          <w:tcPr>
            <w:tcW w:w="2333" w:type="dxa"/>
            <w:gridSpan w:val="2"/>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12" w:type="dxa"/>
            <w:vMerge w:val="continue"/>
            <w:shd w:val="clear" w:color="auto" w:fill="auto"/>
            <w:noWrap w:val="0"/>
            <w:vAlign w:val="center"/>
          </w:tcPr>
          <w:p>
            <w:pPr>
              <w:spacing w:line="240" w:lineRule="auto"/>
              <w:jc w:val="center"/>
              <w:rPr>
                <w:rFonts w:hint="eastAsia" w:ascii="仿宋" w:hAnsi="仿宋" w:eastAsia="仿宋" w:cs="仿宋"/>
                <w:b/>
                <w:bCs/>
                <w:sz w:val="24"/>
                <w:szCs w:val="24"/>
              </w:rPr>
            </w:pPr>
          </w:p>
        </w:tc>
        <w:tc>
          <w:tcPr>
            <w:tcW w:w="1005"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养殖量</w:t>
            </w:r>
          </w:p>
        </w:tc>
        <w:tc>
          <w:tcPr>
            <w:tcW w:w="1072"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以猪当量计</w:t>
            </w:r>
          </w:p>
        </w:tc>
        <w:tc>
          <w:tcPr>
            <w:tcW w:w="1036"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养殖量</w:t>
            </w:r>
          </w:p>
        </w:tc>
        <w:tc>
          <w:tcPr>
            <w:tcW w:w="1037"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以猪当量计</w:t>
            </w:r>
          </w:p>
        </w:tc>
        <w:tc>
          <w:tcPr>
            <w:tcW w:w="1075"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养殖量</w:t>
            </w:r>
          </w:p>
        </w:tc>
        <w:tc>
          <w:tcPr>
            <w:tcW w:w="1076"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以猪当量计</w:t>
            </w:r>
          </w:p>
        </w:tc>
        <w:tc>
          <w:tcPr>
            <w:tcW w:w="1166" w:type="dxa"/>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养殖量</w:t>
            </w:r>
          </w:p>
        </w:tc>
        <w:tc>
          <w:tcPr>
            <w:tcW w:w="1167" w:type="dxa"/>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rPr>
              <w:t>以猪当量计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212" w:type="dxa"/>
            <w:shd w:val="clear" w:color="auto" w:fill="auto"/>
            <w:noWrap w:val="0"/>
            <w:vAlign w:val="center"/>
          </w:tcPr>
          <w:p>
            <w:pPr>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肉鸡</w:t>
            </w:r>
          </w:p>
        </w:tc>
        <w:tc>
          <w:tcPr>
            <w:tcW w:w="1005"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sz w:val="24"/>
                <w:szCs w:val="24"/>
              </w:rPr>
              <w:t>-</w:t>
            </w:r>
          </w:p>
        </w:tc>
        <w:tc>
          <w:tcPr>
            <w:tcW w:w="1072"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eastAsia"/>
                <w:sz w:val="24"/>
                <w:szCs w:val="24"/>
              </w:rPr>
            </w:pPr>
            <w:r>
              <w:rPr>
                <w:rFonts w:hint="eastAsia"/>
                <w:sz w:val="24"/>
                <w:szCs w:val="24"/>
              </w:rPr>
              <w:t>-</w:t>
            </w:r>
          </w:p>
        </w:tc>
        <w:tc>
          <w:tcPr>
            <w:tcW w:w="103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sz w:val="24"/>
                <w:szCs w:val="24"/>
              </w:rPr>
              <w:t>-</w:t>
            </w:r>
          </w:p>
        </w:tc>
        <w:tc>
          <w:tcPr>
            <w:tcW w:w="103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sz w:val="24"/>
                <w:szCs w:val="24"/>
              </w:rPr>
            </w:pPr>
            <w:r>
              <w:rPr>
                <w:rFonts w:hint="eastAsia"/>
                <w:sz w:val="24"/>
                <w:szCs w:val="24"/>
              </w:rPr>
              <w:t>-</w:t>
            </w:r>
          </w:p>
        </w:tc>
        <w:tc>
          <w:tcPr>
            <w:tcW w:w="1075"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rPr>
            </w:pPr>
            <w:r>
              <w:rPr>
                <w:rFonts w:hint="eastAsia" w:ascii="仿宋" w:hAnsi="仿宋" w:eastAsia="仿宋" w:cs="仿宋"/>
                <w:sz w:val="24"/>
                <w:szCs w:val="24"/>
                <w:lang w:val="en-US" w:eastAsia="zh-CN"/>
              </w:rPr>
              <w:t>2318000</w:t>
            </w:r>
          </w:p>
        </w:tc>
        <w:tc>
          <w:tcPr>
            <w:tcW w:w="107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38633</w:t>
            </w:r>
          </w:p>
        </w:tc>
        <w:tc>
          <w:tcPr>
            <w:tcW w:w="116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2318000</w:t>
            </w:r>
          </w:p>
        </w:tc>
        <w:tc>
          <w:tcPr>
            <w:tcW w:w="116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38633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212" w:type="dxa"/>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rPr>
              <w:t>蛋鸡</w:t>
            </w:r>
            <w:r>
              <w:rPr>
                <w:rFonts w:hint="eastAsia" w:ascii="仿宋" w:hAnsi="仿宋" w:eastAsia="仿宋" w:cs="仿宋"/>
                <w:sz w:val="24"/>
                <w:szCs w:val="24"/>
                <w:lang w:val="en-US" w:eastAsia="zh-CN"/>
              </w:rPr>
              <w:t>/蛋鸡</w:t>
            </w:r>
          </w:p>
        </w:tc>
        <w:tc>
          <w:tcPr>
            <w:tcW w:w="1005"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3500</w:t>
            </w:r>
          </w:p>
        </w:tc>
        <w:tc>
          <w:tcPr>
            <w:tcW w:w="1072"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117</w:t>
            </w:r>
          </w:p>
        </w:tc>
        <w:tc>
          <w:tcPr>
            <w:tcW w:w="103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sz w:val="24"/>
                <w:szCs w:val="24"/>
              </w:rPr>
              <w:t>-</w:t>
            </w:r>
          </w:p>
        </w:tc>
        <w:tc>
          <w:tcPr>
            <w:tcW w:w="103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sz w:val="24"/>
                <w:szCs w:val="24"/>
              </w:rPr>
            </w:pPr>
            <w:r>
              <w:rPr>
                <w:rFonts w:hint="eastAsia"/>
                <w:sz w:val="24"/>
                <w:szCs w:val="24"/>
              </w:rPr>
              <w:t>-</w:t>
            </w:r>
          </w:p>
        </w:tc>
        <w:tc>
          <w:tcPr>
            <w:tcW w:w="1075"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sz w:val="24"/>
                <w:szCs w:val="24"/>
              </w:rPr>
              <w:t>-</w:t>
            </w:r>
          </w:p>
        </w:tc>
        <w:tc>
          <w:tcPr>
            <w:tcW w:w="107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sz w:val="24"/>
                <w:szCs w:val="24"/>
              </w:rPr>
            </w:pPr>
            <w:r>
              <w:rPr>
                <w:rFonts w:hint="eastAsia"/>
                <w:sz w:val="24"/>
                <w:szCs w:val="24"/>
              </w:rPr>
              <w:t>-</w:t>
            </w:r>
          </w:p>
        </w:tc>
        <w:tc>
          <w:tcPr>
            <w:tcW w:w="116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kern w:val="2"/>
                <w:sz w:val="24"/>
                <w:szCs w:val="24"/>
                <w:lang w:val="en-US" w:eastAsia="zh-CN" w:bidi="ar-SA"/>
              </w:rPr>
            </w:pPr>
            <w:r>
              <w:rPr>
                <w:rFonts w:hint="eastAsia"/>
                <w:sz w:val="24"/>
                <w:szCs w:val="24"/>
              </w:rPr>
              <w:t>-</w:t>
            </w:r>
          </w:p>
        </w:tc>
        <w:tc>
          <w:tcPr>
            <w:tcW w:w="116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kern w:val="2"/>
                <w:sz w:val="24"/>
                <w:szCs w:val="24"/>
                <w:lang w:val="en-US" w:eastAsia="zh-CN" w:bidi="ar-SA"/>
              </w:rPr>
            </w:pP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12" w:type="dxa"/>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合计</w:t>
            </w:r>
          </w:p>
        </w:tc>
        <w:tc>
          <w:tcPr>
            <w:tcW w:w="1005"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3500</w:t>
            </w:r>
          </w:p>
        </w:tc>
        <w:tc>
          <w:tcPr>
            <w:tcW w:w="1072"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117</w:t>
            </w:r>
          </w:p>
        </w:tc>
        <w:tc>
          <w:tcPr>
            <w:tcW w:w="103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sz w:val="24"/>
                <w:szCs w:val="24"/>
              </w:rPr>
              <w:t>-</w:t>
            </w:r>
          </w:p>
        </w:tc>
        <w:tc>
          <w:tcPr>
            <w:tcW w:w="103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sz w:val="24"/>
                <w:szCs w:val="24"/>
              </w:rPr>
            </w:pPr>
            <w:r>
              <w:rPr>
                <w:rFonts w:hint="eastAsia"/>
                <w:sz w:val="24"/>
                <w:szCs w:val="24"/>
              </w:rPr>
              <w:t>-</w:t>
            </w:r>
          </w:p>
        </w:tc>
        <w:tc>
          <w:tcPr>
            <w:tcW w:w="1075"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2318000</w:t>
            </w:r>
          </w:p>
        </w:tc>
        <w:tc>
          <w:tcPr>
            <w:tcW w:w="107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38633</w:t>
            </w:r>
          </w:p>
        </w:tc>
        <w:tc>
          <w:tcPr>
            <w:tcW w:w="116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2321500</w:t>
            </w:r>
          </w:p>
        </w:tc>
        <w:tc>
          <w:tcPr>
            <w:tcW w:w="116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38750</w:t>
            </w:r>
          </w:p>
        </w:tc>
      </w:tr>
    </w:tbl>
    <w:p>
      <w:pPr>
        <w:pStyle w:val="2"/>
        <w:ind w:firstLine="640" w:firstLineChars="200"/>
        <w:jc w:val="both"/>
        <w:rPr>
          <w:rFonts w:hint="eastAsia"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表3-1-2为泰山景区规模养殖场总体情况统计表，从表3-1-2可以看出，泰山景区规模养殖场畜禽养殖总量为38750（以猪当量计）只，</w:t>
      </w:r>
      <w:r>
        <w:rPr>
          <w:rFonts w:hint="eastAsia" w:eastAsia="仿宋_GB2312" w:cs="Times New Roman"/>
          <w:b w:val="0"/>
          <w:bCs w:val="0"/>
          <w:color w:val="000000"/>
          <w:kern w:val="2"/>
          <w:sz w:val="32"/>
          <w:szCs w:val="32"/>
          <w:lang w:val="en-US" w:eastAsia="zh-CN" w:bidi="ar-SA"/>
        </w:rPr>
        <w:t>从区域分布来看（以猪当量计）</w:t>
      </w:r>
      <w:r>
        <w:rPr>
          <w:rFonts w:hint="eastAsia" w:ascii="Times New Roman" w:hAnsi="Times New Roman" w:eastAsia="仿宋_GB2312" w:cs="Times New Roman"/>
          <w:b w:val="0"/>
          <w:bCs w:val="0"/>
          <w:color w:val="000000"/>
          <w:kern w:val="2"/>
          <w:sz w:val="32"/>
          <w:szCs w:val="32"/>
          <w:lang w:val="en-US" w:eastAsia="zh-CN" w:bidi="ar-SA"/>
        </w:rPr>
        <w:t>主要集中在下港镇</w:t>
      </w:r>
      <w:r>
        <w:rPr>
          <w:rFonts w:hint="eastAsia" w:eastAsia="仿宋_GB2312" w:cs="Times New Roman"/>
          <w:b w:val="0"/>
          <w:bCs w:val="0"/>
          <w:color w:val="000000"/>
          <w:kern w:val="2"/>
          <w:sz w:val="32"/>
          <w:szCs w:val="32"/>
          <w:lang w:val="en-US" w:eastAsia="zh-CN" w:bidi="ar-SA"/>
        </w:rPr>
        <w:t>，1家位于大津口乡</w:t>
      </w:r>
      <w:r>
        <w:rPr>
          <w:rFonts w:hint="eastAsia" w:ascii="Times New Roman" w:hAnsi="Times New Roman" w:eastAsia="仿宋_GB2312" w:cs="Times New Roman"/>
          <w:b w:val="0"/>
          <w:bCs w:val="0"/>
          <w:color w:val="000000"/>
          <w:kern w:val="2"/>
          <w:sz w:val="32"/>
          <w:szCs w:val="32"/>
          <w:lang w:val="en-US" w:eastAsia="zh-CN" w:bidi="ar-SA"/>
        </w:rPr>
        <w:t>。</w:t>
      </w:r>
    </w:p>
    <w:p>
      <w:pPr>
        <w:pStyle w:val="2"/>
        <w:ind w:firstLine="640" w:firstLineChars="200"/>
        <w:jc w:val="both"/>
        <w:rPr>
          <w:rFonts w:hint="eastAsia" w:ascii="Times New Roman" w:hAnsi="Times New Roman" w:eastAsia="仿宋" w:cs="Times New Roman"/>
          <w:b/>
          <w:kern w:val="2"/>
          <w:sz w:val="28"/>
          <w:szCs w:val="22"/>
          <w:lang w:val="en-US" w:eastAsia="zh-CN" w:bidi="ar-SA"/>
        </w:rPr>
      </w:pPr>
      <w:r>
        <w:rPr>
          <w:rFonts w:hint="eastAsia" w:eastAsia="仿宋_GB2312" w:cs="Times New Roman"/>
          <w:b w:val="0"/>
          <w:bCs w:val="0"/>
          <w:color w:val="000000"/>
          <w:kern w:val="2"/>
          <w:sz w:val="32"/>
          <w:szCs w:val="32"/>
          <w:lang w:val="en-US" w:eastAsia="zh-CN" w:bidi="ar-SA"/>
        </w:rPr>
        <w:t>2.</w:t>
      </w:r>
      <w:r>
        <w:rPr>
          <w:rFonts w:hint="eastAsia" w:ascii="Times New Roman" w:hAnsi="Times New Roman" w:eastAsia="仿宋" w:cs="Times New Roman"/>
          <w:b/>
          <w:kern w:val="2"/>
          <w:sz w:val="28"/>
          <w:szCs w:val="22"/>
          <w:lang w:val="en-US" w:eastAsia="zh-CN" w:bidi="ar-SA"/>
        </w:rPr>
        <w:t>养殖专业户</w:t>
      </w:r>
    </w:p>
    <w:p>
      <w:pPr>
        <w:ind w:firstLine="640" w:firstLineChars="200"/>
        <w:rPr>
          <w:rFonts w:hint="default" w:eastAsia="仿宋_GB2312" w:cs="Times New Roman"/>
          <w:b w:val="0"/>
          <w:bCs w:val="0"/>
          <w:color w:val="000000"/>
          <w:kern w:val="2"/>
          <w:sz w:val="32"/>
          <w:szCs w:val="32"/>
          <w:lang w:val="en-US" w:eastAsia="zh-CN" w:bidi="ar-SA"/>
        </w:rPr>
      </w:pPr>
      <w:r>
        <w:rPr>
          <w:rFonts w:hint="eastAsia" w:ascii="Times New Roman" w:hAnsi="Times New Roman" w:eastAsia="仿宋_GB2312" w:cs="Times New Roman"/>
          <w:b w:val="0"/>
          <w:bCs w:val="0"/>
          <w:color w:val="000000"/>
          <w:kern w:val="2"/>
          <w:sz w:val="32"/>
          <w:szCs w:val="32"/>
          <w:lang w:val="en-US" w:eastAsia="zh-CN" w:bidi="ar-SA"/>
        </w:rPr>
        <w:t>未达到畜禽规模养殖场标准且养殖量生猪</w:t>
      </w:r>
      <w:r>
        <w:rPr>
          <w:rFonts w:hint="eastAsia" w:eastAsia="仿宋_GB2312" w:cs="Times New Roman"/>
          <w:b w:val="0"/>
          <w:bCs w:val="0"/>
          <w:color w:val="000000"/>
          <w:kern w:val="2"/>
          <w:sz w:val="32"/>
          <w:szCs w:val="32"/>
          <w:lang w:val="en-US" w:eastAsia="zh-CN" w:bidi="ar-SA"/>
        </w:rPr>
        <w:t>设计年</w:t>
      </w:r>
      <w:r>
        <w:rPr>
          <w:rFonts w:hint="eastAsia" w:ascii="Times New Roman" w:hAnsi="Times New Roman" w:eastAsia="仿宋_GB2312" w:cs="Times New Roman"/>
          <w:b w:val="0"/>
          <w:bCs w:val="0"/>
          <w:color w:val="000000"/>
          <w:kern w:val="2"/>
          <w:sz w:val="32"/>
          <w:szCs w:val="32"/>
          <w:lang w:val="en-US" w:eastAsia="zh-CN" w:bidi="ar-SA"/>
        </w:rPr>
        <w:t>年出栏</w:t>
      </w:r>
      <w:r>
        <w:rPr>
          <w:rFonts w:hint="eastAsia" w:eastAsia="仿宋_GB2312" w:cs="Times New Roman"/>
          <w:b w:val="0"/>
          <w:bCs w:val="0"/>
          <w:color w:val="000000"/>
          <w:kern w:val="2"/>
          <w:sz w:val="32"/>
          <w:szCs w:val="32"/>
          <w:lang w:val="en-US" w:eastAsia="zh-CN" w:bidi="ar-SA"/>
        </w:rPr>
        <w:t>量</w:t>
      </w:r>
      <w:r>
        <w:rPr>
          <w:rFonts w:hint="eastAsia" w:ascii="Times New Roman" w:hAnsi="Times New Roman" w:eastAsia="仿宋_GB2312" w:cs="Times New Roman"/>
          <w:b w:val="0"/>
          <w:bCs w:val="0"/>
          <w:color w:val="000000"/>
          <w:kern w:val="2"/>
          <w:sz w:val="32"/>
          <w:szCs w:val="32"/>
          <w:lang w:val="en-US" w:eastAsia="zh-CN" w:bidi="ar-SA"/>
        </w:rPr>
        <w:t>≥50头、奶牛</w:t>
      </w:r>
      <w:r>
        <w:rPr>
          <w:rFonts w:hint="eastAsia" w:eastAsia="仿宋_GB2312" w:cs="Times New Roman"/>
          <w:b w:val="0"/>
          <w:bCs w:val="0"/>
          <w:color w:val="000000"/>
          <w:kern w:val="2"/>
          <w:sz w:val="32"/>
          <w:szCs w:val="32"/>
          <w:lang w:val="en-US" w:eastAsia="zh-CN" w:bidi="ar-SA"/>
        </w:rPr>
        <w:t>设计</w:t>
      </w:r>
      <w:r>
        <w:rPr>
          <w:rFonts w:hint="eastAsia" w:ascii="Times New Roman" w:hAnsi="Times New Roman" w:eastAsia="仿宋_GB2312" w:cs="Times New Roman"/>
          <w:b w:val="0"/>
          <w:bCs w:val="0"/>
          <w:color w:val="000000"/>
          <w:kern w:val="2"/>
          <w:sz w:val="32"/>
          <w:szCs w:val="32"/>
          <w:lang w:val="en-US" w:eastAsia="zh-CN" w:bidi="ar-SA"/>
        </w:rPr>
        <w:t>年存栏</w:t>
      </w:r>
      <w:r>
        <w:rPr>
          <w:rFonts w:hint="eastAsia" w:eastAsia="仿宋_GB2312" w:cs="Times New Roman"/>
          <w:b w:val="0"/>
          <w:bCs w:val="0"/>
          <w:color w:val="000000"/>
          <w:kern w:val="2"/>
          <w:sz w:val="32"/>
          <w:szCs w:val="32"/>
          <w:lang w:val="en-US" w:eastAsia="zh-CN" w:bidi="ar-SA"/>
        </w:rPr>
        <w:t>量</w:t>
      </w:r>
      <w:r>
        <w:rPr>
          <w:rFonts w:hint="eastAsia" w:ascii="Times New Roman" w:hAnsi="Times New Roman" w:eastAsia="仿宋_GB2312" w:cs="Times New Roman"/>
          <w:b w:val="0"/>
          <w:bCs w:val="0"/>
          <w:color w:val="000000"/>
          <w:kern w:val="2"/>
          <w:sz w:val="32"/>
          <w:szCs w:val="32"/>
          <w:lang w:val="en-US" w:eastAsia="zh-CN" w:bidi="ar-SA"/>
        </w:rPr>
        <w:t>≥5头、</w:t>
      </w:r>
      <w:r>
        <w:rPr>
          <w:rFonts w:hint="eastAsia" w:eastAsia="仿宋_GB2312" w:cs="Times New Roman"/>
          <w:b w:val="0"/>
          <w:bCs w:val="0"/>
          <w:color w:val="000000"/>
          <w:kern w:val="2"/>
          <w:sz w:val="32"/>
          <w:szCs w:val="32"/>
          <w:lang w:val="en-US" w:eastAsia="zh-CN" w:bidi="ar-SA"/>
        </w:rPr>
        <w:t>肉鸡设计</w:t>
      </w:r>
      <w:r>
        <w:rPr>
          <w:rFonts w:hint="eastAsia" w:ascii="Times New Roman" w:hAnsi="Times New Roman" w:eastAsia="仿宋_GB2312" w:cs="Times New Roman"/>
          <w:b w:val="0"/>
          <w:bCs w:val="0"/>
          <w:color w:val="000000"/>
          <w:kern w:val="2"/>
          <w:sz w:val="32"/>
          <w:szCs w:val="32"/>
          <w:lang w:val="en-US" w:eastAsia="zh-CN" w:bidi="ar-SA"/>
        </w:rPr>
        <w:t>年</w:t>
      </w:r>
      <w:r>
        <w:rPr>
          <w:rFonts w:hint="eastAsia" w:eastAsia="仿宋_GB2312" w:cs="Times New Roman"/>
          <w:b w:val="0"/>
          <w:bCs w:val="0"/>
          <w:color w:val="000000"/>
          <w:kern w:val="2"/>
          <w:sz w:val="32"/>
          <w:szCs w:val="32"/>
          <w:lang w:val="en-US" w:eastAsia="zh-CN" w:bidi="ar-SA"/>
        </w:rPr>
        <w:t>出</w:t>
      </w:r>
      <w:r>
        <w:rPr>
          <w:rFonts w:hint="eastAsia" w:ascii="Times New Roman" w:hAnsi="Times New Roman" w:eastAsia="仿宋_GB2312" w:cs="Times New Roman"/>
          <w:b w:val="0"/>
          <w:bCs w:val="0"/>
          <w:color w:val="000000"/>
          <w:kern w:val="2"/>
          <w:sz w:val="32"/>
          <w:szCs w:val="32"/>
          <w:lang w:val="en-US" w:eastAsia="zh-CN" w:bidi="ar-SA"/>
        </w:rPr>
        <w:t>栏</w:t>
      </w:r>
      <w:r>
        <w:rPr>
          <w:rFonts w:hint="eastAsia" w:eastAsia="仿宋_GB2312" w:cs="Times New Roman"/>
          <w:b w:val="0"/>
          <w:bCs w:val="0"/>
          <w:color w:val="000000"/>
          <w:kern w:val="2"/>
          <w:sz w:val="32"/>
          <w:szCs w:val="32"/>
          <w:lang w:val="en-US" w:eastAsia="zh-CN" w:bidi="ar-SA"/>
        </w:rPr>
        <w:t>量</w:t>
      </w: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2000只、肉鸭设计</w:t>
      </w:r>
      <w:r>
        <w:rPr>
          <w:rFonts w:hint="eastAsia" w:ascii="Times New Roman" w:hAnsi="Times New Roman" w:eastAsia="仿宋_GB2312" w:cs="Times New Roman"/>
          <w:b w:val="0"/>
          <w:bCs w:val="0"/>
          <w:color w:val="000000"/>
          <w:kern w:val="2"/>
          <w:sz w:val="32"/>
          <w:szCs w:val="32"/>
          <w:lang w:val="en-US" w:eastAsia="zh-CN" w:bidi="ar-SA"/>
        </w:rPr>
        <w:t>年</w:t>
      </w:r>
      <w:r>
        <w:rPr>
          <w:rFonts w:hint="eastAsia" w:eastAsia="仿宋_GB2312" w:cs="Times New Roman"/>
          <w:b w:val="0"/>
          <w:bCs w:val="0"/>
          <w:color w:val="000000"/>
          <w:kern w:val="2"/>
          <w:sz w:val="32"/>
          <w:szCs w:val="32"/>
          <w:lang w:val="en-US" w:eastAsia="zh-CN" w:bidi="ar-SA"/>
        </w:rPr>
        <w:t>出</w:t>
      </w:r>
      <w:r>
        <w:rPr>
          <w:rFonts w:hint="eastAsia" w:ascii="Times New Roman" w:hAnsi="Times New Roman" w:eastAsia="仿宋_GB2312" w:cs="Times New Roman"/>
          <w:b w:val="0"/>
          <w:bCs w:val="0"/>
          <w:color w:val="000000"/>
          <w:kern w:val="2"/>
          <w:sz w:val="32"/>
          <w:szCs w:val="32"/>
          <w:lang w:val="en-US" w:eastAsia="zh-CN" w:bidi="ar-SA"/>
        </w:rPr>
        <w:t>栏</w:t>
      </w:r>
      <w:r>
        <w:rPr>
          <w:rFonts w:hint="eastAsia" w:eastAsia="仿宋_GB2312" w:cs="Times New Roman"/>
          <w:b w:val="0"/>
          <w:bCs w:val="0"/>
          <w:color w:val="000000"/>
          <w:kern w:val="2"/>
          <w:sz w:val="32"/>
          <w:szCs w:val="32"/>
          <w:lang w:val="en-US" w:eastAsia="zh-CN" w:bidi="ar-SA"/>
        </w:rPr>
        <w:t>量</w:t>
      </w: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2000只、蛋鸡/蛋鸭设计年存栏量</w:t>
      </w: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500只、肉牛设计年出栏量</w:t>
      </w: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10头、羊设计年出栏量</w:t>
      </w: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50只、兔设计存栏量</w:t>
      </w: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300只。</w:t>
      </w:r>
      <w:r>
        <w:rPr>
          <w:rFonts w:hint="eastAsia" w:ascii="Times New Roman" w:hAnsi="Times New Roman" w:eastAsia="仿宋_GB2312" w:cs="Times New Roman"/>
          <w:b w:val="0"/>
          <w:bCs w:val="0"/>
          <w:color w:val="000000"/>
          <w:kern w:val="2"/>
          <w:sz w:val="32"/>
          <w:szCs w:val="32"/>
          <w:lang w:val="en-US" w:eastAsia="zh-CN" w:bidi="ar-SA"/>
        </w:rPr>
        <w:t>从表</w:t>
      </w:r>
      <w:r>
        <w:rPr>
          <w:rFonts w:hint="eastAsia" w:eastAsia="仿宋_GB2312" w:cs="Times New Roman"/>
          <w:b w:val="0"/>
          <w:bCs w:val="0"/>
          <w:color w:val="000000"/>
          <w:kern w:val="2"/>
          <w:sz w:val="32"/>
          <w:szCs w:val="32"/>
          <w:lang w:val="en-US" w:eastAsia="zh-CN" w:bidi="ar-SA"/>
        </w:rPr>
        <w:t>3</w:t>
      </w: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2</w:t>
      </w: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2</w:t>
      </w:r>
      <w:r>
        <w:rPr>
          <w:rFonts w:hint="eastAsia" w:ascii="Times New Roman" w:hAnsi="Times New Roman" w:eastAsia="仿宋_GB2312" w:cs="Times New Roman"/>
          <w:b w:val="0"/>
          <w:bCs w:val="0"/>
          <w:color w:val="000000"/>
          <w:kern w:val="2"/>
          <w:sz w:val="32"/>
          <w:szCs w:val="32"/>
          <w:lang w:val="en-US" w:eastAsia="zh-CN" w:bidi="ar-SA"/>
        </w:rPr>
        <w:t>可以看出，</w:t>
      </w:r>
      <w:r>
        <w:rPr>
          <w:rFonts w:hint="eastAsia" w:eastAsia="仿宋_GB2312" w:cs="Times New Roman"/>
          <w:b w:val="0"/>
          <w:bCs w:val="0"/>
          <w:color w:val="000000"/>
          <w:kern w:val="2"/>
          <w:sz w:val="32"/>
          <w:szCs w:val="32"/>
          <w:lang w:val="en-US" w:eastAsia="zh-CN" w:bidi="ar-SA"/>
        </w:rPr>
        <w:t>泰山景区养殖专业户共计17家</w:t>
      </w:r>
      <w:r>
        <w:rPr>
          <w:rFonts w:hint="eastAsia" w:ascii="Times New Roman" w:hAnsi="Times New Roman" w:eastAsia="仿宋_GB2312" w:cs="Times New Roman"/>
          <w:b w:val="0"/>
          <w:bCs w:val="0"/>
          <w:color w:val="000000"/>
          <w:kern w:val="2"/>
          <w:sz w:val="32"/>
          <w:szCs w:val="32"/>
          <w:lang w:val="en-US" w:eastAsia="zh-CN" w:bidi="ar-SA"/>
        </w:rPr>
        <w:t>，</w:t>
      </w:r>
      <w:r>
        <w:rPr>
          <w:rFonts w:hint="eastAsia" w:eastAsia="仿宋_GB2312" w:cs="Times New Roman"/>
          <w:b w:val="0"/>
          <w:bCs w:val="0"/>
          <w:color w:val="000000"/>
          <w:kern w:val="2"/>
          <w:sz w:val="32"/>
          <w:szCs w:val="32"/>
          <w:lang w:val="en-US" w:eastAsia="zh-CN" w:bidi="ar-SA"/>
        </w:rPr>
        <w:t>其中1家养殖生猪，16家养殖肉鸡。泰山景区养殖专业户畜禽养殖总量为38750头（以猪当量计）；从养殖专业户的区域分布来看（以猪当量计），全部集中在下港镇。</w:t>
      </w:r>
    </w:p>
    <w:p>
      <w:pPr>
        <w:pStyle w:val="44"/>
      </w:pPr>
      <w:r>
        <w:rPr>
          <w:rFonts w:hint="eastAsia" w:ascii="仿宋" w:hAnsi="仿宋" w:eastAsia="仿宋" w:cs="仿宋"/>
        </w:rPr>
        <w:t>表</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2</w:t>
      </w:r>
      <w:r>
        <w:rPr>
          <w:rFonts w:hint="eastAsia" w:ascii="仿宋" w:hAnsi="仿宋" w:eastAsia="仿宋" w:cs="仿宋"/>
        </w:rPr>
        <w:t xml:space="preserve">-1 </w:t>
      </w:r>
      <w:r>
        <w:rPr>
          <w:rFonts w:hint="eastAsia" w:ascii="仿宋" w:hAnsi="仿宋" w:eastAsia="仿宋" w:cs="仿宋"/>
          <w:lang w:eastAsia="zh-CN"/>
        </w:rPr>
        <w:t>泰山景区养殖专业户</w:t>
      </w:r>
      <w:r>
        <w:rPr>
          <w:rFonts w:hint="eastAsia" w:ascii="仿宋" w:hAnsi="仿宋" w:eastAsia="仿宋" w:cs="仿宋"/>
        </w:rPr>
        <w:t>养殖类型统计表（单位：家）</w:t>
      </w:r>
    </w:p>
    <w:tbl>
      <w:tblPr>
        <w:tblStyle w:val="18"/>
        <w:tblW w:w="9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237"/>
        <w:gridCol w:w="1237"/>
        <w:gridCol w:w="1237"/>
        <w:gridCol w:w="1237"/>
        <w:gridCol w:w="1237"/>
        <w:gridCol w:w="1237"/>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37" w:type="dxa"/>
            <w:noWrap/>
            <w:vAlign w:val="center"/>
          </w:tcPr>
          <w:p>
            <w:pPr>
              <w:pStyle w:val="45"/>
              <w:rPr>
                <w:rFonts w:hint="eastAsia" w:ascii="仿宋" w:hAnsi="仿宋" w:eastAsia="仿宋" w:cs="仿宋"/>
                <w:b/>
                <w:sz w:val="24"/>
                <w:szCs w:val="24"/>
                <w:lang w:eastAsia="zh-CN"/>
              </w:rPr>
            </w:pPr>
            <w:r>
              <w:rPr>
                <w:rFonts w:hint="eastAsia" w:ascii="仿宋" w:hAnsi="仿宋" w:eastAsia="仿宋" w:cs="仿宋"/>
                <w:b/>
                <w:sz w:val="24"/>
                <w:szCs w:val="24"/>
                <w:lang w:eastAsia="zh-CN"/>
              </w:rPr>
              <w:t>乡镇</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生猪</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肉牛</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奶牛</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羊</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蛋鸡</w:t>
            </w:r>
          </w:p>
        </w:tc>
        <w:tc>
          <w:tcPr>
            <w:tcW w:w="1237"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肉鸡</w:t>
            </w:r>
          </w:p>
        </w:tc>
        <w:tc>
          <w:tcPr>
            <w:tcW w:w="1238" w:type="dxa"/>
            <w:noWrap/>
            <w:vAlign w:val="center"/>
          </w:tcPr>
          <w:p>
            <w:pPr>
              <w:pStyle w:val="45"/>
              <w:rPr>
                <w:rFonts w:hint="eastAsia" w:ascii="仿宋" w:hAnsi="仿宋" w:eastAsia="仿宋" w:cs="仿宋"/>
                <w:b/>
                <w:sz w:val="24"/>
                <w:szCs w:val="24"/>
              </w:rPr>
            </w:pPr>
            <w:r>
              <w:rPr>
                <w:rFonts w:hint="eastAsia" w:ascii="仿宋" w:hAnsi="仿宋" w:eastAsia="仿宋" w:cs="仿宋"/>
                <w:b/>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noWrap/>
            <w:vAlign w:val="center"/>
          </w:tcPr>
          <w:p>
            <w:pPr>
              <w:pStyle w:val="45"/>
              <w:rPr>
                <w:rFonts w:hint="eastAsia" w:ascii="仿宋" w:hAnsi="仿宋" w:eastAsia="仿宋" w:cs="仿宋"/>
                <w:sz w:val="24"/>
                <w:szCs w:val="24"/>
                <w:lang w:eastAsia="zh-CN"/>
              </w:rPr>
            </w:pPr>
            <w:r>
              <w:rPr>
                <w:rFonts w:hint="eastAsia" w:ascii="仿宋" w:hAnsi="仿宋" w:eastAsia="仿宋" w:cs="仿宋"/>
                <w:sz w:val="24"/>
                <w:szCs w:val="24"/>
                <w:lang w:eastAsia="zh-CN"/>
              </w:rPr>
              <w:t>大津口乡</w:t>
            </w:r>
          </w:p>
        </w:tc>
        <w:tc>
          <w:tcPr>
            <w:tcW w:w="1237" w:type="dxa"/>
            <w:noWrap/>
            <w:vAlign w:val="center"/>
          </w:tcPr>
          <w:p>
            <w:pPr>
              <w:pStyle w:val="45"/>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1</w:t>
            </w:r>
          </w:p>
        </w:tc>
        <w:tc>
          <w:tcPr>
            <w:tcW w:w="1237"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8"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noWrap/>
            <w:vAlign w:val="center"/>
          </w:tcPr>
          <w:p>
            <w:pPr>
              <w:pStyle w:val="45"/>
              <w:rPr>
                <w:rFonts w:hint="eastAsia" w:ascii="仿宋" w:hAnsi="仿宋" w:eastAsia="仿宋" w:cs="仿宋"/>
                <w:sz w:val="24"/>
                <w:szCs w:val="24"/>
                <w:lang w:eastAsia="zh-CN"/>
              </w:rPr>
            </w:pPr>
            <w:r>
              <w:rPr>
                <w:rFonts w:hint="eastAsia" w:ascii="仿宋" w:hAnsi="仿宋" w:eastAsia="仿宋" w:cs="仿宋"/>
                <w:sz w:val="24"/>
                <w:szCs w:val="24"/>
                <w:lang w:eastAsia="zh-CN"/>
              </w:rPr>
              <w:t>黄前镇</w:t>
            </w:r>
          </w:p>
        </w:tc>
        <w:tc>
          <w:tcPr>
            <w:tcW w:w="1237" w:type="dxa"/>
            <w:noWrap/>
            <w:vAlign w:val="center"/>
          </w:tcPr>
          <w:p>
            <w:pPr>
              <w:jc w:val="center"/>
              <w:rPr>
                <w:rFonts w:hint="eastAsia" w:ascii="仿宋" w:hAnsi="仿宋" w:eastAsia="仿宋" w:cs="仿宋"/>
                <w:sz w:val="24"/>
                <w:szCs w:val="24"/>
              </w:rPr>
            </w:pPr>
            <w:r>
              <w:rPr>
                <w:rFonts w:hint="eastAsia" w:ascii="仿宋" w:hAnsi="仿宋" w:eastAsia="仿宋" w:cs="仿宋"/>
                <w:sz w:val="24"/>
                <w:szCs w:val="24"/>
                <w:lang w:val="en-US" w:eastAsia="zh-CN"/>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8"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noWrap/>
            <w:vAlign w:val="center"/>
          </w:tcPr>
          <w:p>
            <w:pPr>
              <w:pStyle w:val="45"/>
              <w:rPr>
                <w:rFonts w:hint="eastAsia" w:ascii="仿宋" w:hAnsi="仿宋" w:eastAsia="仿宋" w:cs="仿宋"/>
                <w:sz w:val="24"/>
                <w:szCs w:val="24"/>
                <w:lang w:eastAsia="zh-CN"/>
              </w:rPr>
            </w:pPr>
            <w:r>
              <w:rPr>
                <w:rFonts w:hint="eastAsia" w:ascii="仿宋" w:hAnsi="仿宋" w:eastAsia="仿宋" w:cs="仿宋"/>
                <w:sz w:val="24"/>
                <w:szCs w:val="24"/>
                <w:lang w:eastAsia="zh-CN"/>
              </w:rPr>
              <w:t>下港镇</w:t>
            </w:r>
          </w:p>
        </w:tc>
        <w:tc>
          <w:tcPr>
            <w:tcW w:w="1237" w:type="dxa"/>
            <w:noWrap/>
            <w:vAlign w:val="center"/>
          </w:tcPr>
          <w:p>
            <w:pPr>
              <w:jc w:val="center"/>
              <w:rPr>
                <w:rFonts w:hint="eastAsia" w:ascii="仿宋" w:hAnsi="仿宋" w:eastAsia="仿宋" w:cs="仿宋"/>
                <w:sz w:val="24"/>
                <w:szCs w:val="24"/>
              </w:rPr>
            </w:pPr>
            <w:r>
              <w:rPr>
                <w:rFonts w:hint="eastAsia" w:ascii="仿宋" w:hAnsi="仿宋" w:eastAsia="仿宋" w:cs="仿宋"/>
                <w:sz w:val="24"/>
                <w:szCs w:val="24"/>
                <w:lang w:val="en-US" w:eastAsia="zh-CN"/>
              </w:rPr>
              <w:t>1</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pStyle w:val="45"/>
              <w:jc w:val="center"/>
              <w:rPr>
                <w:rFonts w:hint="default"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15</w:t>
            </w:r>
          </w:p>
        </w:tc>
        <w:tc>
          <w:tcPr>
            <w:tcW w:w="1238" w:type="dxa"/>
            <w:noWrap/>
            <w:vAlign w:val="center"/>
          </w:tcPr>
          <w:p>
            <w:pPr>
              <w:pStyle w:val="45"/>
              <w:jc w:val="center"/>
              <w:rPr>
                <w:rFonts w:hint="default"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7" w:type="dxa"/>
            <w:noWrap/>
            <w:vAlign w:val="center"/>
          </w:tcPr>
          <w:p>
            <w:pPr>
              <w:pStyle w:val="45"/>
              <w:rPr>
                <w:rFonts w:hint="eastAsia" w:ascii="仿宋" w:hAnsi="仿宋" w:eastAsia="仿宋" w:cs="仿宋"/>
                <w:sz w:val="24"/>
                <w:szCs w:val="24"/>
              </w:rPr>
            </w:pPr>
            <w:r>
              <w:rPr>
                <w:rFonts w:hint="eastAsia" w:ascii="仿宋" w:hAnsi="仿宋" w:eastAsia="仿宋" w:cs="仿宋"/>
                <w:sz w:val="24"/>
                <w:szCs w:val="24"/>
              </w:rPr>
              <w:t>总计</w:t>
            </w:r>
          </w:p>
        </w:tc>
        <w:tc>
          <w:tcPr>
            <w:tcW w:w="1237" w:type="dxa"/>
            <w:noWrap/>
            <w:vAlign w:val="center"/>
          </w:tcPr>
          <w:p>
            <w:pPr>
              <w:jc w:val="center"/>
              <w:rPr>
                <w:rFonts w:hint="eastAsia" w:ascii="仿宋" w:hAnsi="仿宋" w:eastAsia="仿宋" w:cs="仿宋"/>
                <w:sz w:val="24"/>
                <w:szCs w:val="24"/>
              </w:rPr>
            </w:pPr>
            <w:r>
              <w:rPr>
                <w:rFonts w:hint="eastAsia" w:ascii="仿宋" w:hAnsi="仿宋" w:eastAsia="仿宋" w:cs="仿宋"/>
                <w:sz w:val="24"/>
                <w:szCs w:val="24"/>
                <w:lang w:val="en-US" w:eastAsia="zh-CN"/>
              </w:rPr>
              <w:t>1</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pStyle w:val="45"/>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0</w:t>
            </w:r>
          </w:p>
        </w:tc>
        <w:tc>
          <w:tcPr>
            <w:tcW w:w="1237" w:type="dxa"/>
            <w:noWrap/>
            <w:vAlign w:val="center"/>
          </w:tcPr>
          <w:p>
            <w:pPr>
              <w:pStyle w:val="45"/>
              <w:jc w:val="center"/>
              <w:rPr>
                <w:rFonts w:hint="default"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15</w:t>
            </w:r>
          </w:p>
        </w:tc>
        <w:tc>
          <w:tcPr>
            <w:tcW w:w="1238" w:type="dxa"/>
            <w:noWrap/>
            <w:vAlign w:val="center"/>
          </w:tcPr>
          <w:p>
            <w:pPr>
              <w:pStyle w:val="45"/>
              <w:jc w:val="center"/>
              <w:rPr>
                <w:rFonts w:hint="default"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16</w:t>
            </w:r>
          </w:p>
        </w:tc>
      </w:tr>
    </w:tbl>
    <w:p>
      <w:pPr>
        <w:pStyle w:val="44"/>
        <w:rPr>
          <w:rFonts w:hint="eastAsia" w:ascii="仿宋" w:hAnsi="仿宋" w:eastAsia="仿宋" w:cs="仿宋"/>
        </w:rPr>
      </w:pPr>
    </w:p>
    <w:p>
      <w:pPr>
        <w:pStyle w:val="44"/>
        <w:rPr>
          <w:rFonts w:hint="eastAsia" w:ascii="仿宋" w:hAnsi="仿宋" w:eastAsia="仿宋" w:cs="仿宋"/>
        </w:rPr>
      </w:pPr>
    </w:p>
    <w:p>
      <w:pPr>
        <w:pStyle w:val="44"/>
        <w:rPr>
          <w:rFonts w:hint="eastAsia" w:ascii="仿宋" w:hAnsi="仿宋" w:eastAsia="仿宋" w:cs="仿宋"/>
          <w:lang w:eastAsia="zh-CN"/>
        </w:rPr>
      </w:pPr>
      <w:r>
        <w:rPr>
          <w:rFonts w:hint="eastAsia" w:ascii="仿宋" w:hAnsi="仿宋" w:eastAsia="仿宋" w:cs="仿宋"/>
        </w:rPr>
        <w:t>表</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2</w:t>
      </w:r>
      <w:r>
        <w:rPr>
          <w:rFonts w:hint="eastAsia" w:ascii="仿宋" w:hAnsi="仿宋" w:eastAsia="仿宋" w:cs="仿宋"/>
        </w:rPr>
        <w:t>-2</w:t>
      </w:r>
      <w:r>
        <w:rPr>
          <w:rFonts w:hint="eastAsia" w:ascii="仿宋" w:hAnsi="仿宋" w:eastAsia="仿宋" w:cs="仿宋"/>
          <w:lang w:eastAsia="zh-CN"/>
        </w:rPr>
        <w:t>泰山景区养殖专业户</w:t>
      </w:r>
      <w:r>
        <w:rPr>
          <w:rFonts w:hint="eastAsia" w:ascii="仿宋" w:hAnsi="仿宋" w:eastAsia="仿宋" w:cs="仿宋"/>
        </w:rPr>
        <w:t>总体情况</w:t>
      </w:r>
      <w:r>
        <w:rPr>
          <w:rFonts w:hint="eastAsia" w:ascii="仿宋" w:hAnsi="仿宋" w:eastAsia="仿宋" w:cs="仿宋"/>
          <w:lang w:eastAsia="zh-CN"/>
        </w:rPr>
        <w:t>（单位：只）</w:t>
      </w:r>
    </w:p>
    <w:tbl>
      <w:tblPr>
        <w:tblStyle w:val="18"/>
        <w:tblW w:w="9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136"/>
        <w:gridCol w:w="1084"/>
        <w:gridCol w:w="878"/>
        <w:gridCol w:w="1037"/>
        <w:gridCol w:w="1075"/>
        <w:gridCol w:w="1076"/>
        <w:gridCol w:w="1166"/>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27" w:type="dxa"/>
            <w:vMerge w:val="restart"/>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养殖类型</w:t>
            </w:r>
          </w:p>
        </w:tc>
        <w:tc>
          <w:tcPr>
            <w:tcW w:w="2220" w:type="dxa"/>
            <w:gridSpan w:val="2"/>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大津口乡</w:t>
            </w:r>
          </w:p>
        </w:tc>
        <w:tc>
          <w:tcPr>
            <w:tcW w:w="1915" w:type="dxa"/>
            <w:gridSpan w:val="2"/>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黄前镇</w:t>
            </w:r>
          </w:p>
        </w:tc>
        <w:tc>
          <w:tcPr>
            <w:tcW w:w="2151" w:type="dxa"/>
            <w:gridSpan w:val="2"/>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下港镇</w:t>
            </w:r>
          </w:p>
        </w:tc>
        <w:tc>
          <w:tcPr>
            <w:tcW w:w="2333" w:type="dxa"/>
            <w:gridSpan w:val="2"/>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227" w:type="dxa"/>
            <w:vMerge w:val="continue"/>
            <w:shd w:val="clear" w:color="auto" w:fill="auto"/>
            <w:noWrap w:val="0"/>
            <w:vAlign w:val="center"/>
          </w:tcPr>
          <w:p>
            <w:pPr>
              <w:spacing w:line="240" w:lineRule="auto"/>
              <w:jc w:val="center"/>
              <w:rPr>
                <w:rFonts w:hint="eastAsia" w:ascii="仿宋" w:hAnsi="仿宋" w:eastAsia="仿宋" w:cs="仿宋"/>
                <w:b/>
                <w:bCs/>
                <w:sz w:val="24"/>
                <w:szCs w:val="24"/>
              </w:rPr>
            </w:pPr>
          </w:p>
        </w:tc>
        <w:tc>
          <w:tcPr>
            <w:tcW w:w="1136"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养殖量</w:t>
            </w:r>
          </w:p>
        </w:tc>
        <w:tc>
          <w:tcPr>
            <w:tcW w:w="1084"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以猪当量计</w:t>
            </w:r>
          </w:p>
        </w:tc>
        <w:tc>
          <w:tcPr>
            <w:tcW w:w="878"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养殖量</w:t>
            </w:r>
          </w:p>
        </w:tc>
        <w:tc>
          <w:tcPr>
            <w:tcW w:w="1037"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以猪当量计</w:t>
            </w:r>
          </w:p>
        </w:tc>
        <w:tc>
          <w:tcPr>
            <w:tcW w:w="1075"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养殖量</w:t>
            </w:r>
          </w:p>
        </w:tc>
        <w:tc>
          <w:tcPr>
            <w:tcW w:w="1076" w:type="dxa"/>
            <w:shd w:val="clear" w:color="auto" w:fill="auto"/>
            <w:noWrap w:val="0"/>
            <w:vAlign w:val="center"/>
          </w:tcPr>
          <w:p>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以猪当量计</w:t>
            </w:r>
          </w:p>
        </w:tc>
        <w:tc>
          <w:tcPr>
            <w:tcW w:w="1166" w:type="dxa"/>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养殖量</w:t>
            </w:r>
          </w:p>
        </w:tc>
        <w:tc>
          <w:tcPr>
            <w:tcW w:w="1167" w:type="dxa"/>
            <w:shd w:val="clear" w:color="auto" w:fill="auto"/>
            <w:noWrap w:val="0"/>
            <w:vAlign w:val="center"/>
          </w:tcPr>
          <w:p>
            <w:pPr>
              <w:spacing w:line="240" w:lineRule="auto"/>
              <w:jc w:val="center"/>
              <w:rPr>
                <w:rFonts w:hint="eastAsia" w:ascii="仿宋" w:hAnsi="仿宋" w:eastAsia="仿宋" w:cs="仿宋"/>
                <w:b/>
                <w:bCs/>
                <w:sz w:val="24"/>
                <w:szCs w:val="24"/>
                <w:lang w:eastAsia="zh-CN"/>
              </w:rPr>
            </w:pPr>
            <w:r>
              <w:rPr>
                <w:rFonts w:hint="eastAsia" w:ascii="仿宋" w:hAnsi="仿宋" w:eastAsia="仿宋" w:cs="仿宋"/>
                <w:b/>
                <w:bCs/>
                <w:sz w:val="24"/>
                <w:szCs w:val="24"/>
              </w:rPr>
              <w:t>以猪当量计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27" w:type="dxa"/>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生猪</w:t>
            </w:r>
          </w:p>
        </w:tc>
        <w:tc>
          <w:tcPr>
            <w:tcW w:w="1136"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rPr>
              <w:t>-</w:t>
            </w:r>
          </w:p>
        </w:tc>
        <w:tc>
          <w:tcPr>
            <w:tcW w:w="1084"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878"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103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1075"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230</w:t>
            </w:r>
          </w:p>
        </w:tc>
        <w:tc>
          <w:tcPr>
            <w:tcW w:w="107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230</w:t>
            </w:r>
          </w:p>
        </w:tc>
        <w:tc>
          <w:tcPr>
            <w:tcW w:w="116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230</w:t>
            </w:r>
          </w:p>
        </w:tc>
        <w:tc>
          <w:tcPr>
            <w:tcW w:w="116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227" w:type="dxa"/>
            <w:shd w:val="clear" w:color="auto" w:fill="auto"/>
            <w:noWrap w:val="0"/>
            <w:vAlign w:val="center"/>
          </w:tcPr>
          <w:p>
            <w:pPr>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肉鸡</w:t>
            </w:r>
          </w:p>
        </w:tc>
        <w:tc>
          <w:tcPr>
            <w:tcW w:w="1136"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1084"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878"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103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1075"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445000</w:t>
            </w:r>
          </w:p>
        </w:tc>
        <w:tc>
          <w:tcPr>
            <w:tcW w:w="107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7417</w:t>
            </w:r>
          </w:p>
        </w:tc>
        <w:tc>
          <w:tcPr>
            <w:tcW w:w="116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445000</w:t>
            </w:r>
          </w:p>
        </w:tc>
        <w:tc>
          <w:tcPr>
            <w:tcW w:w="116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27" w:type="dxa"/>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合计</w:t>
            </w:r>
          </w:p>
        </w:tc>
        <w:tc>
          <w:tcPr>
            <w:tcW w:w="1136"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1084" w:type="dxa"/>
            <w:tcBorders>
              <w:top w:val="nil"/>
              <w:left w:val="nil"/>
              <w:bottom w:val="single" w:color="auto" w:sz="8" w:space="0"/>
              <w:right w:val="single" w:color="000000"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878"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103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w:t>
            </w:r>
          </w:p>
        </w:tc>
        <w:tc>
          <w:tcPr>
            <w:tcW w:w="1075"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445230</w:t>
            </w:r>
          </w:p>
        </w:tc>
        <w:tc>
          <w:tcPr>
            <w:tcW w:w="107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7647</w:t>
            </w:r>
          </w:p>
        </w:tc>
        <w:tc>
          <w:tcPr>
            <w:tcW w:w="1166"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445230</w:t>
            </w:r>
          </w:p>
        </w:tc>
        <w:tc>
          <w:tcPr>
            <w:tcW w:w="1167" w:type="dxa"/>
            <w:tcBorders>
              <w:top w:val="nil"/>
              <w:left w:val="nil"/>
              <w:bottom w:val="single" w:color="auto" w:sz="8" w:space="0"/>
              <w:right w:val="single" w:color="auto" w:sz="8" w:space="0"/>
            </w:tcBorders>
            <w:shd w:val="clear" w:color="auto" w:fill="auto"/>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7647</w:t>
            </w:r>
          </w:p>
        </w:tc>
      </w:tr>
    </w:tbl>
    <w:p>
      <w:pPr>
        <w:ind w:firstLine="643" w:firstLineChars="200"/>
        <w:outlineLvl w:val="1"/>
        <w:rPr>
          <w:rFonts w:ascii="楷体_GB2312" w:eastAsia="楷体_GB2312"/>
          <w:b/>
          <w:color w:val="000000"/>
          <w:sz w:val="32"/>
          <w:szCs w:val="32"/>
        </w:rPr>
      </w:pPr>
      <w:bookmarkStart w:id="17" w:name="_Toc14699590"/>
      <w:bookmarkStart w:id="18" w:name="_Toc10192848"/>
      <w:r>
        <w:rPr>
          <w:rFonts w:hint="eastAsia" w:ascii="楷体_GB2312" w:eastAsia="楷体_GB2312"/>
          <w:b/>
          <w:color w:val="000000"/>
          <w:sz w:val="32"/>
          <w:szCs w:val="32"/>
        </w:rPr>
        <w:t>（三）畜禽养殖</w:t>
      </w:r>
      <w:bookmarkEnd w:id="17"/>
      <w:bookmarkEnd w:id="18"/>
      <w:bookmarkStart w:id="19" w:name="_Toc10192849"/>
      <w:bookmarkStart w:id="20" w:name="_Toc14699591"/>
      <w:r>
        <w:rPr>
          <w:rFonts w:hint="eastAsia" w:ascii="楷体_GB2312" w:eastAsia="楷体_GB2312"/>
          <w:b/>
          <w:color w:val="000000"/>
          <w:sz w:val="32"/>
          <w:szCs w:val="32"/>
        </w:rPr>
        <w:t>污染防治</w:t>
      </w:r>
      <w:bookmarkEnd w:id="19"/>
      <w:bookmarkEnd w:id="20"/>
      <w:r>
        <w:rPr>
          <w:rFonts w:hint="eastAsia" w:ascii="楷体_GB2312" w:eastAsia="楷体_GB2312"/>
          <w:b/>
          <w:color w:val="000000"/>
          <w:sz w:val="32"/>
          <w:szCs w:val="32"/>
        </w:rPr>
        <w:t>现状</w:t>
      </w:r>
    </w:p>
    <w:p>
      <w:pPr>
        <w:ind w:firstLine="633" w:firstLineChars="198"/>
        <w:outlineLvl w:val="1"/>
        <w:rPr>
          <w:rFonts w:hint="eastAsia" w:ascii="仿宋_GB2312" w:hAnsi="仿宋_GB2312" w:eastAsia="仿宋_GB2312" w:cs="仿宋_GB2312"/>
          <w:sz w:val="32"/>
          <w:szCs w:val="32"/>
        </w:rPr>
      </w:pPr>
      <w:bookmarkStart w:id="21" w:name="_Toc14699592"/>
      <w:bookmarkStart w:id="22" w:name="_Toc10192850"/>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畜禽养殖污染治理主要模式及设施</w:t>
      </w:r>
    </w:p>
    <w:p>
      <w:pPr>
        <w:ind w:firstLine="633" w:firstLineChars="198"/>
        <w:outlineLvl w:val="1"/>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泰山景区</w:t>
      </w:r>
      <w:r>
        <w:rPr>
          <w:rFonts w:hint="eastAsia" w:ascii="仿宋_GB2312" w:hAnsi="仿宋_GB2312" w:eastAsia="仿宋_GB2312" w:cs="仿宋_GB2312"/>
          <w:sz w:val="32"/>
          <w:szCs w:val="32"/>
        </w:rPr>
        <w:t>当前畜禽规模养殖场和畜禽养殖户清粪方式以干清粪为主，其次水冲清粪、水泡粪，另有小部分粪便随垫草垫料带走。</w:t>
      </w:r>
      <w:r>
        <w:rPr>
          <w:rFonts w:hint="eastAsia" w:ascii="仿宋_GB2312" w:hAnsi="仿宋_GB2312" w:eastAsia="仿宋_GB2312" w:cs="仿宋_GB2312"/>
          <w:sz w:val="32"/>
          <w:szCs w:val="32"/>
          <w:lang w:val="en-US" w:eastAsia="zh-CN"/>
        </w:rPr>
        <w:t>规模养殖场及养殖专业户均已配备粪污处理设施，</w:t>
      </w:r>
      <w:r>
        <w:rPr>
          <w:rFonts w:hint="eastAsia" w:ascii="仿宋_GB2312" w:hAnsi="仿宋_GB2312" w:eastAsia="仿宋_GB2312" w:cs="仿宋_GB2312"/>
          <w:sz w:val="32"/>
          <w:szCs w:val="32"/>
        </w:rPr>
        <w:t>畜禽粪污处理</w:t>
      </w:r>
      <w:r>
        <w:rPr>
          <w:rFonts w:hint="eastAsia" w:ascii="仿宋_GB2312" w:hAnsi="仿宋_GB2312" w:eastAsia="仿宋_GB2312" w:cs="仿宋_GB2312"/>
          <w:sz w:val="32"/>
          <w:szCs w:val="32"/>
          <w:lang w:eastAsia="zh-CN"/>
        </w:rPr>
        <w:t>去向主要以发酵之后用于回田。</w:t>
      </w:r>
    </w:p>
    <w:p>
      <w:pPr>
        <w:numPr>
          <w:ilvl w:val="0"/>
          <w:numId w:val="0"/>
        </w:numPr>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臭气治理设施配备情况</w:t>
      </w:r>
    </w:p>
    <w:p>
      <w:pPr>
        <w:numPr>
          <w:ilvl w:val="0"/>
          <w:numId w:val="0"/>
        </w:numPr>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养殖场恶臭来自粪便、污水、垫料、饲料等腐败分解，新鲜粪便、消化道排出的气体，皮脂腺和汗腺的分泌物，粘附在体表的污物等。目前养殖场主要选用益生菌配方饲料，粪污及时处理；在养殖舍、粪污发酵处理设施等喷洒生物除臭剂等方式，减轻臭气对周围环境的影响。</w:t>
      </w:r>
    </w:p>
    <w:p>
      <w:pPr>
        <w:numPr>
          <w:ilvl w:val="0"/>
          <w:numId w:val="0"/>
        </w:numPr>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 xml:space="preserve">禁养区划定情况 </w:t>
      </w:r>
    </w:p>
    <w:p>
      <w:pPr>
        <w:numPr>
          <w:ilvl w:val="0"/>
          <w:numId w:val="0"/>
        </w:numPr>
        <w:ind w:firstLine="640" w:firstLineChars="200"/>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泰山景区</w:t>
      </w:r>
      <w:r>
        <w:rPr>
          <w:rFonts w:hint="eastAsia" w:ascii="仿宋_GB2312" w:hAnsi="仿宋_GB2312" w:eastAsia="仿宋_GB2312" w:cs="仿宋_GB2312"/>
          <w:sz w:val="32"/>
          <w:szCs w:val="32"/>
        </w:rPr>
        <w:t>畜禽养殖禁养区</w:t>
      </w:r>
      <w:r>
        <w:rPr>
          <w:rFonts w:hint="eastAsia" w:ascii="仿宋_GB2312" w:hAnsi="仿宋_GB2312" w:eastAsia="仿宋_GB2312" w:cs="仿宋_GB2312"/>
          <w:sz w:val="32"/>
          <w:szCs w:val="32"/>
          <w:lang w:val="en-US" w:eastAsia="zh-CN"/>
        </w:rPr>
        <w:t>调整后泰山景区禁养区有6个，</w:t>
      </w:r>
      <w:r>
        <w:rPr>
          <w:rFonts w:hint="eastAsia" w:ascii="仿宋_GB2312" w:hAnsi="仿宋_GB2312" w:eastAsia="仿宋_GB2312" w:cs="仿宋_GB2312"/>
          <w:sz w:val="32"/>
          <w:szCs w:val="32"/>
        </w:rPr>
        <w:t>总面积为</w:t>
      </w:r>
      <w:r>
        <w:rPr>
          <w:rFonts w:hint="eastAsia" w:ascii="仿宋_GB2312" w:hAnsi="仿宋_GB2312" w:eastAsia="仿宋_GB2312" w:cs="仿宋_GB2312"/>
          <w:sz w:val="32"/>
          <w:szCs w:val="32"/>
          <w:lang w:val="en-US" w:eastAsia="zh-CN"/>
        </w:rPr>
        <w:t>152.45</w:t>
      </w:r>
      <w:r>
        <w:rPr>
          <w:rFonts w:hint="eastAsia" w:ascii="仿宋_GB2312" w:hAnsi="仿宋_GB2312" w:eastAsia="仿宋_GB2312" w:cs="仿宋_GB2312"/>
          <w:sz w:val="32"/>
          <w:szCs w:val="32"/>
        </w:rPr>
        <w:t>平方千米。</w:t>
      </w:r>
    </w:p>
    <w:p>
      <w:pPr>
        <w:numPr>
          <w:ilvl w:val="0"/>
          <w:numId w:val="0"/>
        </w:numPr>
        <w:ind w:firstLine="643" w:firstLineChars="200"/>
        <w:outlineLvl w:val="1"/>
        <w:rPr>
          <w:rFonts w:ascii="楷体_GB2312" w:eastAsia="楷体_GB2312"/>
          <w:b/>
          <w:color w:val="000000"/>
          <w:sz w:val="32"/>
          <w:szCs w:val="32"/>
        </w:rPr>
      </w:pPr>
      <w:r>
        <w:rPr>
          <w:rFonts w:hint="eastAsia" w:ascii="楷体_GB2312" w:eastAsia="楷体_GB2312"/>
          <w:b/>
          <w:color w:val="000000"/>
          <w:sz w:val="32"/>
          <w:szCs w:val="32"/>
        </w:rPr>
        <w:t>（四）</w:t>
      </w:r>
      <w:r>
        <w:rPr>
          <w:rFonts w:ascii="楷体_GB2312" w:eastAsia="楷体_GB2312"/>
          <w:b/>
          <w:color w:val="000000"/>
          <w:sz w:val="32"/>
          <w:szCs w:val="32"/>
        </w:rPr>
        <w:t>存在问题</w:t>
      </w:r>
      <w:bookmarkEnd w:id="21"/>
    </w:p>
    <w:bookmarkEnd w:id="22"/>
    <w:p>
      <w:pPr>
        <w:numPr>
          <w:ilvl w:val="0"/>
          <w:numId w:val="0"/>
        </w:numPr>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畜禽粪污处理措施不到位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部分畜禽养殖场户粪污设施处理能力与养殖规模不匹配，存在粪尿渗漏、溢流现象。部分小型养殖户内部设施落后，处理方式简单甚至未配套粪污处理设施，处理设施利用率低。</w:t>
      </w:r>
    </w:p>
    <w:p>
      <w:pPr>
        <w:numPr>
          <w:ilvl w:val="0"/>
          <w:numId w:val="0"/>
        </w:numPr>
        <w:ind w:firstLine="640" w:firstLineChars="200"/>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农牧结合不紧密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种植业与养殖业相对独立发展，缺少交流渠道，客观阻断了粪肥还田的通道，造成种养主体分离，种养循环还有梗阻，稳定成熟的种养结合机制尚未形成，粪污还田利用水平较低。 </w:t>
      </w:r>
    </w:p>
    <w:p>
      <w:pPr>
        <w:numPr>
          <w:ilvl w:val="0"/>
          <w:numId w:val="0"/>
        </w:numPr>
        <w:ind w:firstLine="640" w:firstLineChars="200"/>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监管执法力度有待加强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畜禽养殖污染防治主动排查力度不够，排查问题不够深入。畜禽养殖污染点多线长面广，监管工作人员难以深入养殖场现场执法检查，无人机等高科技工作手段匮乏，存在监管工作盲区。</w:t>
      </w:r>
    </w:p>
    <w:p>
      <w:pPr>
        <w:widowControl/>
        <w:ind w:firstLine="640" w:firstLineChars="200"/>
        <w:jc w:val="left"/>
        <w:outlineLvl w:val="0"/>
        <w:rPr>
          <w:rFonts w:hint="eastAsia" w:ascii="黑体" w:hAnsi="黑体" w:eastAsia="黑体" w:cs="黑体"/>
          <w:sz w:val="32"/>
          <w:szCs w:val="32"/>
        </w:rPr>
      </w:pPr>
      <w:bookmarkStart w:id="23" w:name="_Toc21240"/>
      <w:bookmarkStart w:id="24" w:name="_Toc2906"/>
      <w:r>
        <w:rPr>
          <w:rFonts w:hint="eastAsia" w:ascii="黑体" w:hAnsi="黑体" w:eastAsia="黑体" w:cs="黑体"/>
          <w:sz w:val="32"/>
          <w:szCs w:val="32"/>
        </w:rPr>
        <w:t>三、规划目标</w:t>
      </w:r>
      <w:bookmarkEnd w:id="23"/>
      <w:bookmarkEnd w:id="24"/>
    </w:p>
    <w:p>
      <w:pPr>
        <w:widowControl/>
        <w:ind w:firstLine="643" w:firstLineChars="200"/>
        <w:jc w:val="left"/>
        <w:rPr>
          <w:rFonts w:ascii="楷体_GB2312" w:eastAsia="楷体_GB2312"/>
          <w:b/>
          <w:color w:val="000000"/>
          <w:sz w:val="32"/>
          <w:szCs w:val="32"/>
        </w:rPr>
      </w:pPr>
      <w:r>
        <w:rPr>
          <w:rFonts w:hint="eastAsia" w:ascii="楷体_GB2312" w:eastAsia="楷体_GB2312"/>
          <w:b/>
          <w:color w:val="000000"/>
          <w:sz w:val="32"/>
          <w:szCs w:val="32"/>
        </w:rPr>
        <w:t>（一）指导思想</w:t>
      </w:r>
    </w:p>
    <w:p>
      <w:pPr>
        <w:ind w:firstLine="633" w:firstLineChars="198"/>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以习近平新时代中国特色社会主义思想为指导，深入学习贯彻党的</w:t>
      </w:r>
      <w:r>
        <w:rPr>
          <w:rFonts w:hint="eastAsia" w:ascii="仿宋_GB2312" w:hAnsi="仿宋_GB2312" w:eastAsia="仿宋_GB2312" w:cs="仿宋_GB2312"/>
          <w:sz w:val="32"/>
          <w:szCs w:val="32"/>
          <w:lang w:val="en-US" w:eastAsia="zh-CN"/>
        </w:rPr>
        <w:t>二十大</w:t>
      </w:r>
      <w:r>
        <w:rPr>
          <w:rFonts w:hint="eastAsia" w:ascii="仿宋_GB2312" w:hAnsi="仿宋_GB2312" w:eastAsia="仿宋_GB2312" w:cs="仿宋_GB2312"/>
          <w:sz w:val="32"/>
          <w:szCs w:val="32"/>
        </w:rPr>
        <w:t>精神，全面贯彻习近平生态文明思想，认真落实党中央、国务院决策部署，统筹推进“五位一体”总体布局和协调推进“四个全面”战略布局，牢固树立和贯彻落实创新、协调、绿色、开放、共享的发展理念，建立以生态保护红线、环境质量底线、资源利用上线和生态环境准入清单为核心的生态环境分区管控体系，提升生态环境治理体系和治理能力现代化水平，以生态环境高水平保护促进生态环境质量持续好转，推动经济社会全面绿色转型和高质量发展，加快实现人与自然和谐共生的建设目标。</w:t>
      </w:r>
    </w:p>
    <w:p>
      <w:pPr>
        <w:ind w:firstLine="633" w:firstLineChars="198"/>
        <w:outlineLvl w:val="1"/>
        <w:rPr>
          <w:rFonts w:hint="eastAsia" w:eastAsia="仿宋"/>
          <w:sz w:val="32"/>
          <w:szCs w:val="32"/>
        </w:rPr>
      </w:pPr>
      <w:r>
        <w:rPr>
          <w:rFonts w:hint="eastAsia" w:ascii="仿宋_GB2312" w:hAnsi="仿宋_GB2312" w:eastAsia="仿宋_GB2312" w:cs="仿宋_GB2312"/>
          <w:sz w:val="32"/>
          <w:szCs w:val="32"/>
        </w:rPr>
        <w:t>为保障我国畜牧业持续稳定健康发展，提升规模化养殖水平，坚持保供给与保环境并重，加快发展方式绿色转型，进一步加强畜禽养殖污染防治工作。坚持政府主导、企业主体、市场化运作，坚持源头减量、过程控制、末端利用的治理路径，以养殖场为重点，以种养结合为抓手，以沼气和生物天然气为主要处理方向，以农用有机肥和农村能源为主要利用方向，构建畜禽粪污收集-贮存-转运-处理利用体系，健全制度体系，强化责任落实，完善扶持政策，严格执法监管，加强科技支撑，强化装备保障，全面推进畜禽养殖废弃物资源化利用，加快构建种养结合、农牧循环的可持续发展新格局，持续提升畜禽养殖污染防治水平，促进畜禽养殖业健康发展，为全面实施乡村振兴战略提供有力支撑。</w:t>
      </w:r>
    </w:p>
    <w:p>
      <w:pPr>
        <w:widowControl/>
        <w:ind w:firstLine="643" w:firstLineChars="200"/>
        <w:jc w:val="left"/>
        <w:rPr>
          <w:rFonts w:ascii="楷体_GB2312" w:eastAsia="楷体_GB2312"/>
        </w:rPr>
      </w:pPr>
      <w:r>
        <w:rPr>
          <w:rFonts w:hint="eastAsia" w:ascii="楷体_GB2312" w:eastAsia="楷体_GB2312"/>
          <w:b/>
          <w:color w:val="000000"/>
          <w:sz w:val="32"/>
          <w:szCs w:val="32"/>
        </w:rPr>
        <w:t>（二）规划期限</w:t>
      </w:r>
    </w:p>
    <w:p>
      <w:pPr>
        <w:ind w:firstLine="633" w:firstLineChars="198"/>
        <w:outlineLvl w:val="1"/>
        <w:rPr>
          <w:rFonts w:ascii="楷体_GB2312" w:eastAsia="楷体_GB2312"/>
          <w:b/>
          <w:color w:val="000000"/>
          <w:sz w:val="32"/>
          <w:szCs w:val="32"/>
        </w:rPr>
      </w:pPr>
      <w:r>
        <w:rPr>
          <w:rFonts w:hint="eastAsia" w:eastAsia="仿宋_GB2312"/>
          <w:color w:val="000000"/>
          <w:sz w:val="32"/>
          <w:szCs w:val="32"/>
        </w:rPr>
        <w:t>规划期限：</w:t>
      </w:r>
      <w:r>
        <w:rPr>
          <w:rFonts w:eastAsia="仿宋_GB2312"/>
          <w:color w:val="000000"/>
          <w:sz w:val="32"/>
          <w:szCs w:val="32"/>
        </w:rPr>
        <w:t>2021-2025</w:t>
      </w:r>
      <w:r>
        <w:rPr>
          <w:rFonts w:hint="eastAsia" w:eastAsia="仿宋_GB2312"/>
          <w:color w:val="000000"/>
          <w:sz w:val="32"/>
          <w:szCs w:val="32"/>
        </w:rPr>
        <w:t>年。规划基准年</w:t>
      </w:r>
      <w:r>
        <w:rPr>
          <w:rFonts w:eastAsia="仿宋_GB2312"/>
          <w:color w:val="000000"/>
          <w:sz w:val="32"/>
          <w:szCs w:val="32"/>
        </w:rPr>
        <w:t>2020</w:t>
      </w:r>
      <w:r>
        <w:rPr>
          <w:rFonts w:hint="eastAsia" w:eastAsia="仿宋_GB2312"/>
          <w:color w:val="000000"/>
          <w:sz w:val="32"/>
          <w:szCs w:val="32"/>
        </w:rPr>
        <w:t>年。</w:t>
      </w:r>
    </w:p>
    <w:p>
      <w:pPr>
        <w:ind w:firstLine="636" w:firstLineChars="198"/>
        <w:outlineLvl w:val="1"/>
        <w:rPr>
          <w:rFonts w:ascii="楷体_GB2312" w:eastAsia="楷体_GB2312"/>
          <w:b/>
          <w:color w:val="000000"/>
          <w:sz w:val="32"/>
          <w:szCs w:val="32"/>
        </w:rPr>
      </w:pPr>
      <w:r>
        <w:rPr>
          <w:rFonts w:hint="eastAsia" w:ascii="楷体_GB2312" w:eastAsia="楷体_GB2312"/>
          <w:b/>
          <w:color w:val="000000"/>
          <w:sz w:val="32"/>
          <w:szCs w:val="32"/>
        </w:rPr>
        <w:t xml:space="preserve">（三）规划目标与指标 </w:t>
      </w:r>
    </w:p>
    <w:p>
      <w:pPr>
        <w:ind w:firstLine="636" w:firstLineChars="198"/>
        <w:outlineLvl w:val="1"/>
      </w:pPr>
      <w:r>
        <w:rPr>
          <w:rFonts w:hint="eastAsia" w:eastAsia="仿宋_GB2312"/>
          <w:b/>
          <w:color w:val="000000"/>
          <w:sz w:val="32"/>
          <w:szCs w:val="32"/>
        </w:rPr>
        <w:t>1.规划目标</w:t>
      </w:r>
    </w:p>
    <w:p>
      <w:pPr>
        <w:ind w:firstLine="633" w:firstLineChars="198"/>
        <w:outlineLvl w:val="1"/>
        <w:rPr>
          <w:rFonts w:eastAsia="仿宋_GB2312"/>
          <w:color w:val="000000"/>
          <w:sz w:val="32"/>
          <w:szCs w:val="32"/>
        </w:rPr>
      </w:pPr>
      <w:r>
        <w:rPr>
          <w:rFonts w:hint="eastAsia" w:eastAsia="仿宋_GB2312"/>
          <w:color w:val="000000"/>
          <w:sz w:val="32"/>
          <w:szCs w:val="32"/>
        </w:rPr>
        <w:t>到</w:t>
      </w:r>
      <w:r>
        <w:rPr>
          <w:rFonts w:eastAsia="仿宋_GB2312"/>
          <w:color w:val="000000"/>
          <w:sz w:val="32"/>
          <w:szCs w:val="32"/>
        </w:rPr>
        <w:t>2025</w:t>
      </w:r>
      <w:r>
        <w:rPr>
          <w:rFonts w:hint="eastAsia" w:eastAsia="仿宋_GB2312"/>
          <w:color w:val="000000"/>
          <w:sz w:val="32"/>
          <w:szCs w:val="32"/>
        </w:rPr>
        <w:t xml:space="preserve">年，构建资源化利用为主的畜禽养殖污染防治体系。构建科学规范、权责清晰、约束有力的畜禽养殖废弃物资源化利用体系，提升畜禽养殖污染治理标准化、生态化水平。构建种养结合循环发展机制，实现农牧融合发展。 </w:t>
      </w:r>
    </w:p>
    <w:p>
      <w:pPr>
        <w:ind w:firstLine="636" w:firstLineChars="198"/>
        <w:outlineLvl w:val="1"/>
        <w:rPr>
          <w:rFonts w:eastAsia="仿宋_GB2312"/>
          <w:b/>
          <w:color w:val="000000"/>
          <w:sz w:val="32"/>
          <w:szCs w:val="32"/>
        </w:rPr>
      </w:pPr>
      <w:r>
        <w:rPr>
          <w:rFonts w:hint="eastAsia" w:eastAsia="仿宋_GB2312"/>
          <w:b/>
          <w:color w:val="000000"/>
          <w:sz w:val="32"/>
          <w:szCs w:val="32"/>
        </w:rPr>
        <w:t>2</w:t>
      </w:r>
      <w:r>
        <w:rPr>
          <w:rFonts w:eastAsia="仿宋_GB2312"/>
          <w:b/>
          <w:color w:val="000000"/>
          <w:sz w:val="32"/>
          <w:szCs w:val="32"/>
        </w:rPr>
        <w:t>.</w:t>
      </w:r>
      <w:r>
        <w:rPr>
          <w:rFonts w:hint="eastAsia" w:eastAsia="仿宋_GB2312"/>
          <w:b/>
          <w:color w:val="000000"/>
          <w:sz w:val="32"/>
          <w:szCs w:val="32"/>
        </w:rPr>
        <w:t>规划指标</w:t>
      </w:r>
    </w:p>
    <w:p>
      <w:pPr>
        <w:ind w:firstLine="633" w:firstLineChars="198"/>
        <w:outlineLvl w:val="1"/>
      </w:pPr>
      <w:r>
        <w:rPr>
          <w:rFonts w:eastAsia="仿宋_GB2312"/>
          <w:color w:val="000000"/>
          <w:sz w:val="32"/>
          <w:szCs w:val="32"/>
        </w:rPr>
        <w:t>20</w:t>
      </w:r>
      <w:r>
        <w:rPr>
          <w:rFonts w:hint="eastAsia" w:eastAsia="仿宋_GB2312"/>
          <w:color w:val="000000"/>
          <w:sz w:val="32"/>
          <w:szCs w:val="32"/>
        </w:rPr>
        <w:t>25</w:t>
      </w:r>
      <w:r>
        <w:rPr>
          <w:rFonts w:eastAsia="仿宋_GB2312"/>
          <w:color w:val="000000"/>
          <w:sz w:val="32"/>
          <w:szCs w:val="32"/>
        </w:rPr>
        <w:t>年</w:t>
      </w:r>
      <w:r>
        <w:rPr>
          <w:rFonts w:hint="eastAsia" w:eastAsia="仿宋_GB2312"/>
          <w:sz w:val="32"/>
          <w:szCs w:val="32"/>
          <w:lang w:eastAsia="zh-CN"/>
        </w:rPr>
        <w:t>泰山景区</w:t>
      </w:r>
      <w:r>
        <w:rPr>
          <w:rFonts w:hint="eastAsia" w:eastAsia="仿宋_GB2312"/>
          <w:sz w:val="32"/>
          <w:szCs w:val="32"/>
        </w:rPr>
        <w:t>畜禽粪污综合</w:t>
      </w:r>
      <w:r>
        <w:rPr>
          <w:rFonts w:eastAsia="仿宋_GB2312"/>
          <w:sz w:val="32"/>
          <w:szCs w:val="32"/>
        </w:rPr>
        <w:t>资源化利用率达</w:t>
      </w:r>
      <w:r>
        <w:rPr>
          <w:rFonts w:hint="eastAsia" w:eastAsia="仿宋_GB2312"/>
          <w:sz w:val="32"/>
          <w:szCs w:val="32"/>
        </w:rPr>
        <w:t>95</w:t>
      </w:r>
      <w:r>
        <w:rPr>
          <w:rFonts w:eastAsia="仿宋_GB2312"/>
          <w:sz w:val="32"/>
          <w:szCs w:val="32"/>
        </w:rPr>
        <w:t>%</w:t>
      </w:r>
      <w:r>
        <w:rPr>
          <w:rFonts w:hint="eastAsia" w:eastAsia="仿宋_GB2312"/>
          <w:sz w:val="32"/>
          <w:szCs w:val="32"/>
        </w:rPr>
        <w:t>以上，</w:t>
      </w:r>
      <w:r>
        <w:rPr>
          <w:rFonts w:hint="eastAsia" w:eastAsia="仿宋_GB2312"/>
          <w:color w:val="000000"/>
          <w:sz w:val="32"/>
          <w:szCs w:val="32"/>
        </w:rPr>
        <w:t>畜禽</w:t>
      </w:r>
      <w:r>
        <w:rPr>
          <w:rFonts w:eastAsia="仿宋_GB2312"/>
          <w:color w:val="000000"/>
          <w:sz w:val="32"/>
          <w:szCs w:val="32"/>
        </w:rPr>
        <w:t>规模养殖场的</w:t>
      </w:r>
      <w:r>
        <w:rPr>
          <w:rFonts w:hint="eastAsia" w:eastAsia="仿宋_GB2312"/>
          <w:color w:val="000000"/>
          <w:sz w:val="32"/>
          <w:szCs w:val="32"/>
        </w:rPr>
        <w:t>养殖</w:t>
      </w:r>
      <w:r>
        <w:rPr>
          <w:rFonts w:eastAsia="仿宋_GB2312"/>
          <w:color w:val="000000"/>
          <w:sz w:val="32"/>
          <w:szCs w:val="32"/>
        </w:rPr>
        <w:t>粪污资源化利用</w:t>
      </w:r>
      <w:r>
        <w:rPr>
          <w:rFonts w:eastAsia="仿宋_GB2312"/>
          <w:sz w:val="32"/>
          <w:szCs w:val="32"/>
        </w:rPr>
        <w:t>设施</w:t>
      </w:r>
      <w:r>
        <w:rPr>
          <w:rFonts w:hint="eastAsia" w:eastAsia="仿宋_GB2312"/>
          <w:sz w:val="32"/>
          <w:szCs w:val="32"/>
        </w:rPr>
        <w:t>设备</w:t>
      </w:r>
      <w:r>
        <w:rPr>
          <w:rFonts w:eastAsia="仿宋_GB2312"/>
          <w:sz w:val="32"/>
          <w:szCs w:val="32"/>
        </w:rPr>
        <w:t>配套率达100%</w:t>
      </w:r>
      <w:r>
        <w:rPr>
          <w:rFonts w:hint="eastAsia" w:eastAsia="仿宋_GB2312"/>
          <w:sz w:val="32"/>
          <w:szCs w:val="32"/>
        </w:rPr>
        <w:t>等</w:t>
      </w:r>
      <w:r>
        <w:rPr>
          <w:rFonts w:eastAsia="仿宋_GB2312"/>
          <w:sz w:val="32"/>
          <w:szCs w:val="32"/>
        </w:rPr>
        <w:t>。</w:t>
      </w:r>
    </w:p>
    <w:p>
      <w:pPr>
        <w:spacing w:line="580" w:lineRule="exact"/>
        <w:jc w:val="center"/>
        <w:rPr>
          <w:rFonts w:ascii="黑体" w:hAnsi="黑体" w:eastAsia="黑体"/>
          <w:sz w:val="28"/>
          <w:szCs w:val="28"/>
        </w:rPr>
      </w:pPr>
      <w:r>
        <w:rPr>
          <w:rFonts w:hint="eastAsia" w:ascii="黑体" w:hAnsi="黑体" w:eastAsia="黑体"/>
          <w:sz w:val="28"/>
          <w:szCs w:val="28"/>
        </w:rPr>
        <w:t xml:space="preserve"> </w:t>
      </w:r>
      <w:r>
        <w:rPr>
          <w:rFonts w:hint="eastAsia" w:ascii="黑体" w:hAnsi="黑体" w:eastAsia="黑体"/>
          <w:sz w:val="28"/>
          <w:szCs w:val="28"/>
          <w:lang w:eastAsia="zh-CN"/>
        </w:rPr>
        <w:t>泰山景区</w:t>
      </w:r>
      <w:r>
        <w:rPr>
          <w:rFonts w:hint="eastAsia" w:ascii="黑体" w:hAnsi="黑体" w:eastAsia="黑体"/>
          <w:sz w:val="28"/>
          <w:szCs w:val="28"/>
        </w:rPr>
        <w:t>畜禽养殖污染防治规划指标体系</w:t>
      </w: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03"/>
        <w:gridCol w:w="1134"/>
        <w:gridCol w:w="1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903" w:type="dxa"/>
            <w:vAlign w:val="center"/>
          </w:tcPr>
          <w:p>
            <w:pPr>
              <w:spacing w:line="380" w:lineRule="exact"/>
              <w:jc w:val="center"/>
              <w:rPr>
                <w:rFonts w:ascii="黑体" w:hAnsi="黑体" w:eastAsia="黑体"/>
                <w:szCs w:val="21"/>
              </w:rPr>
            </w:pPr>
            <w:r>
              <w:rPr>
                <w:rFonts w:hint="eastAsia" w:ascii="黑体" w:hAnsi="黑体" w:eastAsia="黑体"/>
                <w:szCs w:val="21"/>
              </w:rPr>
              <w:t>指标名称</w:t>
            </w:r>
          </w:p>
        </w:tc>
        <w:tc>
          <w:tcPr>
            <w:tcW w:w="1134" w:type="dxa"/>
            <w:vAlign w:val="center"/>
          </w:tcPr>
          <w:p>
            <w:pPr>
              <w:spacing w:line="380" w:lineRule="exact"/>
              <w:jc w:val="center"/>
              <w:rPr>
                <w:rFonts w:ascii="黑体" w:hAnsi="黑体" w:eastAsia="黑体"/>
                <w:szCs w:val="21"/>
              </w:rPr>
            </w:pPr>
            <w:r>
              <w:rPr>
                <w:rFonts w:hint="eastAsia" w:ascii="黑体" w:hAnsi="黑体" w:eastAsia="黑体"/>
                <w:szCs w:val="21"/>
              </w:rPr>
              <w:t>2020年</w:t>
            </w:r>
          </w:p>
        </w:tc>
        <w:tc>
          <w:tcPr>
            <w:tcW w:w="1321" w:type="dxa"/>
            <w:vAlign w:val="center"/>
          </w:tcPr>
          <w:p>
            <w:pPr>
              <w:spacing w:line="380" w:lineRule="exact"/>
              <w:jc w:val="center"/>
              <w:rPr>
                <w:rFonts w:ascii="黑体" w:hAnsi="黑体" w:eastAsia="黑体"/>
                <w:szCs w:val="21"/>
              </w:rPr>
            </w:pPr>
            <w:r>
              <w:rPr>
                <w:rFonts w:hint="eastAsia" w:ascii="黑体" w:hAnsi="黑体" w:eastAsia="黑体"/>
                <w:szCs w:val="21"/>
              </w:rPr>
              <w:t>2025年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903" w:type="dxa"/>
            <w:vAlign w:val="center"/>
          </w:tcPr>
          <w:p>
            <w:pPr>
              <w:spacing w:line="380" w:lineRule="exact"/>
              <w:rPr>
                <w:rFonts w:ascii="宋体" w:hAnsi="宋体"/>
                <w:szCs w:val="21"/>
              </w:rPr>
            </w:pPr>
            <w:r>
              <w:rPr>
                <w:rFonts w:hint="eastAsia" w:ascii="宋体" w:hAnsi="宋体"/>
                <w:szCs w:val="21"/>
              </w:rPr>
              <w:t>畜禽粪污综合</w:t>
            </w:r>
            <w:r>
              <w:rPr>
                <w:rFonts w:ascii="宋体" w:hAnsi="宋体"/>
                <w:szCs w:val="21"/>
              </w:rPr>
              <w:t>资源化利用率</w:t>
            </w:r>
            <w:r>
              <w:rPr>
                <w:rFonts w:hint="eastAsia" w:ascii="宋体" w:hAnsi="宋体"/>
                <w:szCs w:val="21"/>
              </w:rPr>
              <w:t>（%）</w:t>
            </w:r>
          </w:p>
        </w:tc>
        <w:tc>
          <w:tcPr>
            <w:tcW w:w="1134" w:type="dxa"/>
            <w:vAlign w:val="center"/>
          </w:tcPr>
          <w:p>
            <w:pPr>
              <w:spacing w:line="380" w:lineRule="exact"/>
              <w:jc w:val="center"/>
              <w:rPr>
                <w:rFonts w:hint="default" w:ascii="宋体" w:hAnsi="宋体" w:eastAsia="宋体"/>
                <w:szCs w:val="21"/>
                <w:lang w:val="en-US" w:eastAsia="zh-CN"/>
              </w:rPr>
            </w:pPr>
            <w:r>
              <w:rPr>
                <w:rFonts w:hint="eastAsia" w:ascii="宋体" w:hAnsi="宋体"/>
                <w:szCs w:val="21"/>
                <w:lang w:val="en-US" w:eastAsia="zh-CN"/>
              </w:rPr>
              <w:t>90</w:t>
            </w:r>
          </w:p>
        </w:tc>
        <w:tc>
          <w:tcPr>
            <w:tcW w:w="1321" w:type="dxa"/>
            <w:vAlign w:val="center"/>
          </w:tcPr>
          <w:p>
            <w:pPr>
              <w:spacing w:line="380" w:lineRule="exact"/>
              <w:jc w:val="center"/>
              <w:rPr>
                <w:rFonts w:ascii="宋体" w:hAnsi="宋体"/>
                <w:szCs w:val="21"/>
              </w:rPr>
            </w:pPr>
            <w:r>
              <w:rPr>
                <w:rFonts w:hint="eastAsia" w:ascii="宋体" w:hAnsi="宋体"/>
                <w:szCs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903" w:type="dxa"/>
            <w:vAlign w:val="center"/>
          </w:tcPr>
          <w:p>
            <w:pPr>
              <w:spacing w:line="380" w:lineRule="exact"/>
              <w:rPr>
                <w:rFonts w:ascii="宋体" w:hAnsi="宋体"/>
                <w:szCs w:val="21"/>
              </w:rPr>
            </w:pPr>
            <w:r>
              <w:rPr>
                <w:rFonts w:ascii="宋体" w:hAnsi="宋体"/>
                <w:szCs w:val="21"/>
              </w:rPr>
              <w:t>规模养殖场的</w:t>
            </w:r>
            <w:r>
              <w:rPr>
                <w:rFonts w:hint="eastAsia" w:ascii="宋体" w:hAnsi="宋体"/>
                <w:szCs w:val="21"/>
              </w:rPr>
              <w:t>养殖</w:t>
            </w:r>
            <w:r>
              <w:rPr>
                <w:rFonts w:ascii="宋体" w:hAnsi="宋体"/>
                <w:szCs w:val="21"/>
              </w:rPr>
              <w:t>粪污资源化利用设施</w:t>
            </w:r>
            <w:r>
              <w:rPr>
                <w:rFonts w:hint="eastAsia" w:ascii="宋体" w:hAnsi="宋体"/>
                <w:szCs w:val="21"/>
              </w:rPr>
              <w:t>设备</w:t>
            </w:r>
            <w:r>
              <w:rPr>
                <w:rFonts w:ascii="宋体" w:hAnsi="宋体"/>
                <w:szCs w:val="21"/>
              </w:rPr>
              <w:t>配套率</w:t>
            </w:r>
            <w:r>
              <w:rPr>
                <w:rFonts w:hint="eastAsia" w:ascii="宋体" w:hAnsi="宋体"/>
                <w:szCs w:val="21"/>
              </w:rPr>
              <w:t>（%）</w:t>
            </w:r>
          </w:p>
        </w:tc>
        <w:tc>
          <w:tcPr>
            <w:tcW w:w="1134" w:type="dxa"/>
            <w:vAlign w:val="center"/>
          </w:tcPr>
          <w:p>
            <w:pPr>
              <w:spacing w:line="380" w:lineRule="exact"/>
              <w:jc w:val="center"/>
              <w:rPr>
                <w:rFonts w:hint="default" w:ascii="宋体" w:hAnsi="宋体" w:eastAsia="宋体"/>
                <w:szCs w:val="21"/>
                <w:lang w:val="en-US" w:eastAsia="zh-CN"/>
              </w:rPr>
            </w:pPr>
            <w:r>
              <w:rPr>
                <w:rFonts w:hint="eastAsia" w:ascii="宋体" w:hAnsi="宋体"/>
                <w:szCs w:val="21"/>
                <w:lang w:val="en-US" w:eastAsia="zh-CN"/>
              </w:rPr>
              <w:t>95</w:t>
            </w:r>
          </w:p>
        </w:tc>
        <w:tc>
          <w:tcPr>
            <w:tcW w:w="1321" w:type="dxa"/>
            <w:vAlign w:val="center"/>
          </w:tcPr>
          <w:p>
            <w:pPr>
              <w:spacing w:line="380" w:lineRule="exact"/>
              <w:jc w:val="center"/>
              <w:rPr>
                <w:rFonts w:ascii="宋体" w:hAnsi="宋体"/>
                <w:szCs w:val="21"/>
              </w:rPr>
            </w:pPr>
            <w:r>
              <w:rPr>
                <w:rFonts w:hint="eastAsia" w:ascii="宋体" w:hAnsi="宋体"/>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903" w:type="dxa"/>
            <w:vAlign w:val="center"/>
          </w:tcPr>
          <w:p>
            <w:pPr>
              <w:spacing w:line="380" w:lineRule="exact"/>
              <w:rPr>
                <w:rFonts w:ascii="宋体" w:hAnsi="宋体"/>
                <w:szCs w:val="21"/>
              </w:rPr>
            </w:pPr>
            <w:r>
              <w:rPr>
                <w:rFonts w:ascii="宋体" w:hAnsi="宋体"/>
                <w:szCs w:val="21"/>
              </w:rPr>
              <w:t>规模畜禽养殖场粪污资源化利用台账建设率（%）</w:t>
            </w:r>
          </w:p>
        </w:tc>
        <w:tc>
          <w:tcPr>
            <w:tcW w:w="1134" w:type="dxa"/>
            <w:vAlign w:val="center"/>
          </w:tcPr>
          <w:p>
            <w:pPr>
              <w:spacing w:line="380" w:lineRule="exact"/>
              <w:jc w:val="center"/>
              <w:rPr>
                <w:rFonts w:ascii="宋体" w:hAnsi="宋体"/>
                <w:szCs w:val="21"/>
              </w:rPr>
            </w:pPr>
            <w:r>
              <w:rPr>
                <w:rFonts w:hint="eastAsia" w:ascii="宋体" w:hAnsi="宋体"/>
                <w:szCs w:val="21"/>
              </w:rPr>
              <w:t>/</w:t>
            </w:r>
          </w:p>
        </w:tc>
        <w:tc>
          <w:tcPr>
            <w:tcW w:w="1321" w:type="dxa"/>
            <w:vAlign w:val="center"/>
          </w:tcPr>
          <w:p>
            <w:pPr>
              <w:spacing w:line="380" w:lineRule="exact"/>
              <w:jc w:val="center"/>
              <w:rPr>
                <w:rFonts w:ascii="宋体" w:hAnsi="宋体"/>
                <w:szCs w:val="21"/>
              </w:rPr>
            </w:pPr>
            <w:r>
              <w:rPr>
                <w:rFonts w:hint="eastAsia" w:ascii="宋体" w:hAnsi="宋体"/>
                <w:szCs w:val="21"/>
              </w:rPr>
              <w:t>100</w:t>
            </w:r>
          </w:p>
        </w:tc>
      </w:tr>
    </w:tbl>
    <w:p>
      <w:pPr>
        <w:spacing w:line="20" w:lineRule="exact"/>
      </w:pPr>
    </w:p>
    <w:p>
      <w:pPr>
        <w:ind w:firstLine="636" w:firstLineChars="198"/>
        <w:outlineLvl w:val="1"/>
        <w:rPr>
          <w:rFonts w:ascii="楷体_GB2312" w:eastAsia="楷体_GB2312"/>
          <w:b/>
          <w:color w:val="000000"/>
          <w:sz w:val="32"/>
          <w:szCs w:val="32"/>
        </w:rPr>
      </w:pPr>
      <w:r>
        <w:rPr>
          <w:rFonts w:hint="eastAsia" w:ascii="楷体_GB2312" w:eastAsia="楷体_GB2312"/>
          <w:b/>
          <w:color w:val="000000"/>
          <w:sz w:val="32"/>
          <w:szCs w:val="32"/>
        </w:rPr>
        <w:t>（四）目标可达性分析</w:t>
      </w:r>
    </w:p>
    <w:p>
      <w:pPr>
        <w:ind w:firstLine="633" w:firstLineChars="198"/>
        <w:outlineLvl w:val="1"/>
        <w:rPr>
          <w:rFonts w:eastAsia="仿宋_GB2312"/>
          <w:color w:val="000000"/>
          <w:sz w:val="32"/>
          <w:szCs w:val="32"/>
        </w:rPr>
      </w:pPr>
      <w:r>
        <w:rPr>
          <w:rFonts w:hint="eastAsia" w:eastAsia="仿宋_GB2312"/>
          <w:color w:val="000000"/>
          <w:sz w:val="32"/>
          <w:szCs w:val="32"/>
          <w:lang w:eastAsia="zh-CN"/>
        </w:rPr>
        <w:t>泰山景区</w:t>
      </w:r>
      <w:r>
        <w:rPr>
          <w:rFonts w:hint="eastAsia" w:eastAsia="仿宋_GB2312"/>
          <w:color w:val="000000"/>
          <w:sz w:val="32"/>
          <w:szCs w:val="32"/>
        </w:rPr>
        <w:t>畜牧业发展规划中提出要控制畜禽养殖总量稳定，</w:t>
      </w:r>
      <w:r>
        <w:rPr>
          <w:rFonts w:hint="eastAsia" w:eastAsia="仿宋_GB2312"/>
          <w:color w:val="000000"/>
          <w:sz w:val="32"/>
          <w:szCs w:val="32"/>
          <w:lang w:eastAsia="zh-CN"/>
        </w:rPr>
        <w:t>泰山景区</w:t>
      </w:r>
      <w:r>
        <w:rPr>
          <w:rFonts w:hint="eastAsia" w:eastAsia="仿宋_GB2312"/>
          <w:color w:val="000000"/>
          <w:sz w:val="32"/>
          <w:szCs w:val="32"/>
        </w:rPr>
        <w:t>将把养殖产业作为行业标杆，继续实施整</w:t>
      </w:r>
      <w:r>
        <w:rPr>
          <w:rFonts w:hint="eastAsia" w:eastAsia="仿宋_GB2312"/>
          <w:color w:val="000000"/>
          <w:sz w:val="32"/>
          <w:szCs w:val="32"/>
          <w:lang w:eastAsia="zh-CN"/>
        </w:rPr>
        <w:t>区</w:t>
      </w:r>
      <w:r>
        <w:rPr>
          <w:rFonts w:hint="eastAsia" w:eastAsia="仿宋_GB2312"/>
          <w:color w:val="000000"/>
          <w:sz w:val="32"/>
          <w:szCs w:val="32"/>
        </w:rPr>
        <w:t>推进，布局不断调整优化，畜牧业规模化、生态化、产业化水平提升，优质畜产品生产供给能力提升，风险管控能力增强。</w:t>
      </w:r>
    </w:p>
    <w:p>
      <w:pPr>
        <w:widowControl/>
        <w:ind w:firstLine="640" w:firstLineChars="200"/>
        <w:jc w:val="left"/>
      </w:pPr>
      <w:r>
        <w:rPr>
          <w:rFonts w:hint="eastAsia" w:eastAsia="仿宋_GB2312"/>
          <w:color w:val="000000"/>
          <w:sz w:val="32"/>
          <w:szCs w:val="32"/>
        </w:rPr>
        <w:t>到2025年，完成畜禽养殖示范建设，推进田间配套设施建设工程和监管体系建设，无害化处理体系保持正常运转。随着</w:t>
      </w:r>
      <w:r>
        <w:rPr>
          <w:rFonts w:hint="eastAsia" w:eastAsia="仿宋_GB2312"/>
          <w:color w:val="000000"/>
          <w:sz w:val="32"/>
          <w:szCs w:val="32"/>
          <w:lang w:eastAsia="zh-CN"/>
        </w:rPr>
        <w:t>泰山景区</w:t>
      </w:r>
      <w:r>
        <w:rPr>
          <w:rFonts w:hint="eastAsia" w:eastAsia="仿宋_GB2312"/>
          <w:color w:val="000000"/>
          <w:sz w:val="32"/>
          <w:szCs w:val="32"/>
        </w:rPr>
        <w:t xml:space="preserve">畜禽养殖业的发展，在畜禽养殖污染防治管理过程中，要求采用资源化利用畜禽粪污的养殖场建立资源化利用台账，“十四五”期间，拟通过加强宣传，逐步推进粪肥利用台账制度实施，强化指导服务，做好粪肥利用台账培训等工作措施，规范台账制度落地、实施、监管工作，实现规模场畜禽粪污资源化利用台账覆盖率 </w:t>
      </w:r>
      <w:r>
        <w:rPr>
          <w:rFonts w:eastAsia="仿宋_GB2312"/>
          <w:color w:val="000000"/>
          <w:sz w:val="32"/>
          <w:szCs w:val="32"/>
        </w:rPr>
        <w:t>100%</w:t>
      </w:r>
      <w:r>
        <w:rPr>
          <w:rFonts w:hint="eastAsia" w:eastAsia="仿宋_GB2312"/>
          <w:color w:val="000000"/>
          <w:sz w:val="32"/>
          <w:szCs w:val="32"/>
        </w:rPr>
        <w:t>。现有规模养殖场畜禽粪污均采用资源化利用方式进行回用。</w:t>
      </w:r>
    </w:p>
    <w:p>
      <w:pPr>
        <w:ind w:firstLine="633" w:firstLineChars="198"/>
        <w:outlineLvl w:val="0"/>
        <w:rPr>
          <w:rFonts w:ascii="黑体" w:hAnsi="黑体" w:eastAsia="黑体"/>
          <w:color w:val="000000"/>
          <w:sz w:val="32"/>
          <w:szCs w:val="32"/>
        </w:rPr>
      </w:pPr>
      <w:bookmarkStart w:id="25" w:name="_Toc13817"/>
      <w:bookmarkStart w:id="26" w:name="_Toc9591"/>
      <w:r>
        <w:rPr>
          <w:rFonts w:hint="eastAsia" w:ascii="黑体" w:hAnsi="黑体" w:eastAsia="黑体"/>
          <w:color w:val="000000"/>
          <w:sz w:val="32"/>
          <w:szCs w:val="32"/>
        </w:rPr>
        <w:t>四、畜禽养殖污染防治主要任务</w:t>
      </w:r>
      <w:bookmarkEnd w:id="25"/>
      <w:bookmarkEnd w:id="26"/>
      <w:r>
        <w:rPr>
          <w:rFonts w:hint="eastAsia" w:ascii="黑体" w:hAnsi="黑体" w:eastAsia="黑体"/>
          <w:color w:val="000000"/>
          <w:sz w:val="32"/>
          <w:szCs w:val="32"/>
        </w:rPr>
        <w:t xml:space="preserve"> </w:t>
      </w:r>
    </w:p>
    <w:p>
      <w:pPr>
        <w:ind w:firstLine="636" w:firstLineChars="198"/>
        <w:outlineLvl w:val="1"/>
        <w:rPr>
          <w:rFonts w:ascii="楷体_GB2312" w:eastAsia="楷体_GB2312"/>
          <w:b/>
          <w:color w:val="000000"/>
          <w:sz w:val="32"/>
          <w:szCs w:val="32"/>
        </w:rPr>
      </w:pPr>
      <w:r>
        <w:rPr>
          <w:rFonts w:hint="eastAsia" w:ascii="楷体_GB2312" w:eastAsia="楷体_GB2312"/>
          <w:b/>
          <w:color w:val="000000"/>
          <w:sz w:val="32"/>
          <w:szCs w:val="32"/>
        </w:rPr>
        <w:t xml:space="preserve">（一）优化种养布局 </w:t>
      </w:r>
    </w:p>
    <w:p>
      <w:pPr>
        <w:ind w:firstLine="636" w:firstLineChars="198"/>
        <w:outlineLvl w:val="1"/>
        <w:rPr>
          <w:rFonts w:ascii="仿宋" w:hAnsi="仿宋" w:eastAsia="仿宋" w:cs="仿宋"/>
          <w:b/>
          <w:bCs/>
          <w:color w:val="000000"/>
          <w:kern w:val="0"/>
          <w:sz w:val="28"/>
          <w:szCs w:val="28"/>
        </w:rPr>
      </w:pPr>
      <w:r>
        <w:rPr>
          <w:rFonts w:hint="eastAsia" w:eastAsia="仿宋_GB2312"/>
          <w:b/>
          <w:color w:val="000000"/>
          <w:sz w:val="32"/>
          <w:szCs w:val="32"/>
        </w:rPr>
        <w:t>1.优化区域空间布局，严格环境空间准入</w:t>
      </w:r>
    </w:p>
    <w:p>
      <w:pPr>
        <w:ind w:firstLine="633" w:firstLineChars="198"/>
        <w:outlineLvl w:val="1"/>
        <w:rPr>
          <w:rFonts w:eastAsia="仿宋_GB2312"/>
          <w:color w:val="000000"/>
          <w:sz w:val="32"/>
          <w:szCs w:val="32"/>
        </w:rPr>
      </w:pPr>
      <w:r>
        <w:rPr>
          <w:rFonts w:hint="eastAsia" w:eastAsia="仿宋_GB2312"/>
          <w:color w:val="000000"/>
          <w:sz w:val="32"/>
          <w:szCs w:val="32"/>
        </w:rPr>
        <w:t>（</w:t>
      </w:r>
      <w:r>
        <w:rPr>
          <w:rFonts w:eastAsia="仿宋_GB2312"/>
          <w:color w:val="000000"/>
          <w:sz w:val="32"/>
          <w:szCs w:val="32"/>
        </w:rPr>
        <w:t>1</w:t>
      </w:r>
      <w:r>
        <w:rPr>
          <w:rFonts w:hint="eastAsia" w:eastAsia="仿宋_GB2312"/>
          <w:color w:val="000000"/>
          <w:sz w:val="32"/>
          <w:szCs w:val="32"/>
        </w:rPr>
        <w:t xml:space="preserve">）合理利用空间，优化畜禽养殖发展空间调整区域布局，推动养殖产能优化调整，引导畜禽养殖业粪污利用方向。新建养殖场按照规模化、标准化、生态化、信息化、现代化的要求进行建设，能够充分、合理利用资源，大幅提高生产效率和畜产品产出率。 </w:t>
      </w:r>
    </w:p>
    <w:p>
      <w:pPr>
        <w:ind w:firstLine="633" w:firstLineChars="198"/>
        <w:outlineLvl w:val="1"/>
        <w:rPr>
          <w:rFonts w:eastAsia="仿宋_GB2312"/>
          <w:color w:val="000000"/>
          <w:sz w:val="32"/>
          <w:szCs w:val="32"/>
        </w:rPr>
      </w:pPr>
      <w:r>
        <w:rPr>
          <w:rFonts w:hint="eastAsia" w:eastAsia="仿宋_GB2312"/>
          <w:color w:val="000000"/>
          <w:sz w:val="32"/>
          <w:szCs w:val="32"/>
        </w:rPr>
        <w:t>（</w:t>
      </w:r>
      <w:r>
        <w:rPr>
          <w:rFonts w:eastAsia="仿宋_GB2312"/>
          <w:color w:val="000000"/>
          <w:sz w:val="32"/>
          <w:szCs w:val="32"/>
        </w:rPr>
        <w:t>2</w:t>
      </w:r>
      <w:r>
        <w:rPr>
          <w:rFonts w:hint="eastAsia" w:eastAsia="仿宋_GB2312"/>
          <w:color w:val="000000"/>
          <w:sz w:val="32"/>
          <w:szCs w:val="32"/>
        </w:rPr>
        <w:t xml:space="preserve">）控制养殖规模，推进集约化控制管控。根据 “三线一单”划定成果、禁养区划定成果，结合区域自然条件、人居环境、农业生产现状及土地利用现状，实现分区管控。拆劣建优，推进养殖业空间布局的优化，为产业链条发展提供空间支撑。推动散养户集中化养殖及污染治理，推进养殖产业增长和污染防治同步进行。对养殖业发展规模较大乡镇，严格控制传统的中小规模畜禽养殖，重点发展高端畜禽种业、现代化养殖场和畜牧二、三产业、现代化粪污综合利用产业发展。依据区域生态环境功能定位、环境承载能力、禁养区划定情况、“三线一单”管控要求等实际情况，合理确定养殖总量、品种和规模化水平、养殖选址等，规划建设沼气发电、有机肥生产的粪污消纳企业，延长产业发展链条，确保完成污染物总量控制和排放标准要求。 </w:t>
      </w:r>
    </w:p>
    <w:p>
      <w:pPr>
        <w:ind w:firstLine="633" w:firstLineChars="198"/>
        <w:outlineLvl w:val="1"/>
        <w:rPr>
          <w:rFonts w:eastAsia="仿宋_GB2312"/>
          <w:color w:val="000000"/>
          <w:sz w:val="32"/>
          <w:szCs w:val="32"/>
        </w:rPr>
      </w:pPr>
      <w:r>
        <w:rPr>
          <w:rFonts w:hint="eastAsia" w:eastAsia="仿宋_GB2312"/>
          <w:color w:val="000000"/>
          <w:sz w:val="32"/>
          <w:szCs w:val="32"/>
        </w:rPr>
        <w:t>（</w:t>
      </w:r>
      <w:r>
        <w:rPr>
          <w:rFonts w:eastAsia="仿宋_GB2312"/>
          <w:color w:val="000000"/>
          <w:sz w:val="32"/>
          <w:szCs w:val="32"/>
        </w:rPr>
        <w:t>3</w:t>
      </w:r>
      <w:r>
        <w:rPr>
          <w:rFonts w:hint="eastAsia" w:eastAsia="仿宋_GB2312"/>
          <w:color w:val="000000"/>
          <w:sz w:val="32"/>
          <w:szCs w:val="32"/>
        </w:rPr>
        <w:t>）实施严格环境空间准入管理。 严格环境准入，依据《</w:t>
      </w:r>
      <w:r>
        <w:rPr>
          <w:rFonts w:hint="eastAsia" w:eastAsia="仿宋_GB2312"/>
          <w:color w:val="000000"/>
          <w:sz w:val="32"/>
          <w:szCs w:val="32"/>
          <w:lang w:eastAsia="zh-CN"/>
        </w:rPr>
        <w:t>泰安市</w:t>
      </w:r>
      <w:r>
        <w:rPr>
          <w:rFonts w:hint="eastAsia" w:eastAsia="仿宋_GB2312"/>
          <w:color w:val="000000"/>
          <w:sz w:val="32"/>
          <w:szCs w:val="32"/>
        </w:rPr>
        <w:t>人民政府关于实施“三线一单”生态环境分区管控的意见》、《</w:t>
      </w:r>
      <w:r>
        <w:rPr>
          <w:rFonts w:hint="eastAsia" w:eastAsia="仿宋_GB2312"/>
          <w:color w:val="000000"/>
          <w:sz w:val="32"/>
          <w:szCs w:val="32"/>
          <w:lang w:eastAsia="zh-CN"/>
        </w:rPr>
        <w:t>泰山景区</w:t>
      </w:r>
      <w:r>
        <w:rPr>
          <w:rFonts w:hint="eastAsia" w:eastAsia="仿宋_GB2312"/>
          <w:color w:val="000000"/>
          <w:sz w:val="32"/>
          <w:szCs w:val="32"/>
        </w:rPr>
        <w:t>畜禽养殖禁养区划定方案》等相关文件要求，对已划定的禁养区及禁养方案加以调整、规范并加以公示。落实禁养区各项管理规定，依法关闭和搬迁禁养区内的</w:t>
      </w:r>
      <w:r>
        <w:rPr>
          <w:rFonts w:hint="eastAsia" w:eastAsia="仿宋_GB2312"/>
          <w:sz w:val="32"/>
          <w:szCs w:val="32"/>
        </w:rPr>
        <w:t>规模畜禽养殖场（小区）</w:t>
      </w:r>
      <w:r>
        <w:rPr>
          <w:rFonts w:hint="eastAsia" w:eastAsia="仿宋_GB2312"/>
          <w:color w:val="000000"/>
          <w:sz w:val="32"/>
          <w:szCs w:val="32"/>
        </w:rPr>
        <w:t>。加强禁养区的环境监督执法工作，依法履行环境影响评价手续，执行污染防治及畜禽排泄物综合利用措施必须与主体工程同时设计、同时施工、同时投产使用，其污染物排放不得超过国家和地方规定的排放标准。</w:t>
      </w:r>
    </w:p>
    <w:p>
      <w:pPr>
        <w:widowControl/>
        <w:ind w:firstLine="643" w:firstLineChars="200"/>
        <w:jc w:val="left"/>
      </w:pPr>
      <w:r>
        <w:rPr>
          <w:rFonts w:hint="eastAsia" w:eastAsia="仿宋_GB2312"/>
          <w:b/>
          <w:color w:val="000000"/>
          <w:sz w:val="32"/>
          <w:szCs w:val="32"/>
        </w:rPr>
        <w:t>2</w:t>
      </w:r>
      <w:r>
        <w:rPr>
          <w:rFonts w:eastAsia="仿宋_GB2312"/>
          <w:b/>
          <w:color w:val="000000"/>
          <w:sz w:val="32"/>
          <w:szCs w:val="32"/>
        </w:rPr>
        <w:t>.</w:t>
      </w:r>
      <w:r>
        <w:rPr>
          <w:rFonts w:hint="eastAsia" w:eastAsia="仿宋_GB2312"/>
          <w:b/>
          <w:color w:val="000000"/>
          <w:sz w:val="32"/>
          <w:szCs w:val="32"/>
        </w:rPr>
        <w:t>发挥地缘优势，推进示范区建设</w:t>
      </w:r>
    </w:p>
    <w:p>
      <w:pPr>
        <w:widowControl/>
        <w:ind w:firstLine="640" w:firstLineChars="200"/>
        <w:jc w:val="left"/>
        <w:rPr>
          <w:rFonts w:eastAsia="仿宋_GB2312"/>
          <w:color w:val="000000"/>
          <w:sz w:val="32"/>
          <w:szCs w:val="32"/>
        </w:rPr>
      </w:pPr>
      <w:r>
        <w:rPr>
          <w:rFonts w:hint="eastAsia" w:eastAsia="仿宋_GB2312"/>
          <w:color w:val="000000"/>
          <w:sz w:val="32"/>
          <w:szCs w:val="32"/>
        </w:rPr>
        <w:t>充分发挥当地资源和区位优势，推进示范区建设。通过科学规划、合理布局，实施保障用地等扶持政策，更好的促进优势区域内产业发展。</w:t>
      </w:r>
    </w:p>
    <w:p>
      <w:pPr>
        <w:widowControl/>
        <w:numPr>
          <w:ilvl w:val="0"/>
          <w:numId w:val="0"/>
        </w:numPr>
        <w:ind w:firstLine="643" w:firstLineChars="200"/>
        <w:jc w:val="left"/>
      </w:pPr>
      <w:r>
        <w:rPr>
          <w:rFonts w:hint="eastAsia" w:ascii="楷体_GB2312" w:eastAsia="楷体_GB2312"/>
          <w:b/>
          <w:color w:val="000000"/>
          <w:sz w:val="32"/>
          <w:szCs w:val="32"/>
          <w:lang w:eastAsia="zh-CN"/>
        </w:rPr>
        <w:t>（二）</w:t>
      </w:r>
      <w:r>
        <w:rPr>
          <w:rFonts w:hint="eastAsia" w:ascii="楷体_GB2312" w:eastAsia="楷体_GB2312"/>
          <w:b/>
          <w:color w:val="000000"/>
          <w:sz w:val="32"/>
          <w:szCs w:val="32"/>
        </w:rPr>
        <w:t xml:space="preserve">优化粪污处理和利用模式 </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1.源头减量设施建设。</w:t>
      </w:r>
      <w:r>
        <w:rPr>
          <w:rFonts w:hint="eastAsia" w:ascii="仿宋_GB2312" w:hAnsi="仿宋_GB2312" w:eastAsia="仿宋_GB2312" w:cs="仿宋_GB2312"/>
          <w:sz w:val="32"/>
          <w:szCs w:val="32"/>
          <w:lang w:eastAsia="zh-CN"/>
        </w:rPr>
        <w:t>畜禽</w:t>
      </w:r>
      <w:r>
        <w:rPr>
          <w:rFonts w:hint="eastAsia" w:ascii="仿宋_GB2312" w:hAnsi="仿宋_GB2312" w:eastAsia="仿宋_GB2312" w:cs="仿宋_GB2312"/>
          <w:sz w:val="32"/>
          <w:szCs w:val="32"/>
        </w:rPr>
        <w:t>规模养殖场清洁生产设施的建设主要按照</w:t>
      </w:r>
      <w:r>
        <w:rPr>
          <w:rFonts w:hint="eastAsia" w:ascii="仿宋_GB2312" w:hAnsi="仿宋_GB2312" w:eastAsia="仿宋_GB2312" w:cs="仿宋_GB2312"/>
          <w:color w:val="0000FF"/>
          <w:sz w:val="32"/>
          <w:szCs w:val="32"/>
        </w:rPr>
        <w:t xml:space="preserve"> </w:t>
      </w:r>
      <w:r>
        <w:rPr>
          <w:rFonts w:hint="eastAsia" w:ascii="仿宋_GB2312" w:hAnsi="仿宋_GB2312" w:eastAsia="仿宋_GB2312" w:cs="仿宋_GB2312"/>
          <w:sz w:val="32"/>
          <w:szCs w:val="32"/>
        </w:rPr>
        <w:t>“12321”原则，从源头节水、优化清并方式、雨污分流、栏舍臭气控制几个方面对规模养殖场进行清洁生产设施的建设和改造。规模以下养殖户逐步淘汰全程水冲</w:t>
      </w:r>
      <w:r>
        <w:rPr>
          <w:rFonts w:hint="eastAsia" w:ascii="仿宋_GB2312" w:hAnsi="仿宋_GB2312" w:eastAsia="仿宋_GB2312" w:cs="仿宋_GB2312"/>
          <w:sz w:val="32"/>
          <w:szCs w:val="32"/>
          <w:lang w:eastAsia="zh-CN"/>
        </w:rPr>
        <w:t>粪</w:t>
      </w:r>
      <w:r>
        <w:rPr>
          <w:rFonts w:hint="eastAsia" w:ascii="仿宋_GB2312" w:hAnsi="仿宋_GB2312" w:eastAsia="仿宋_GB2312" w:cs="仿宋_GB2312"/>
          <w:sz w:val="32"/>
          <w:szCs w:val="32"/>
        </w:rPr>
        <w:t>等方式，新建养殖户杜绝水冲</w:t>
      </w:r>
      <w:r>
        <w:rPr>
          <w:rFonts w:hint="eastAsia" w:ascii="仿宋_GB2312" w:hAnsi="仿宋_GB2312" w:eastAsia="仿宋_GB2312" w:cs="仿宋_GB2312"/>
          <w:sz w:val="32"/>
          <w:szCs w:val="32"/>
          <w:lang w:eastAsia="zh-CN"/>
        </w:rPr>
        <w:t>粪</w:t>
      </w:r>
      <w:r>
        <w:rPr>
          <w:rFonts w:hint="eastAsia" w:ascii="仿宋_GB2312" w:hAnsi="仿宋_GB2312" w:eastAsia="仿宋_GB2312" w:cs="仿宋_GB2312"/>
          <w:sz w:val="32"/>
          <w:szCs w:val="32"/>
        </w:rPr>
        <w:t>清粪方式，实现废水源头减量。</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2.粪污处理设施建设。畜禽养殖场应根据养殖污染防治要求和当地环境承载力，配备与设计生产能力、</w:t>
      </w:r>
      <w:r>
        <w:rPr>
          <w:rFonts w:hint="eastAsia" w:ascii="仿宋_GB2312" w:hAnsi="仿宋_GB2312" w:eastAsia="仿宋_GB2312" w:cs="仿宋_GB2312"/>
          <w:sz w:val="32"/>
          <w:szCs w:val="32"/>
          <w:lang w:eastAsia="zh-CN"/>
        </w:rPr>
        <w:t>粪污</w:t>
      </w:r>
      <w:r>
        <w:rPr>
          <w:rFonts w:hint="eastAsia" w:ascii="仿宋_GB2312" w:hAnsi="仿宋_GB2312" w:eastAsia="仿宋_GB2312" w:cs="仿宋_GB2312"/>
          <w:sz w:val="32"/>
          <w:szCs w:val="32"/>
        </w:rPr>
        <w:t>处理利用方式相匹配的</w:t>
      </w:r>
      <w:r>
        <w:rPr>
          <w:rFonts w:hint="eastAsia" w:ascii="仿宋_GB2312" w:hAnsi="仿宋_GB2312" w:eastAsia="仿宋_GB2312" w:cs="仿宋_GB2312"/>
          <w:sz w:val="32"/>
          <w:szCs w:val="32"/>
          <w:lang w:eastAsia="zh-CN"/>
        </w:rPr>
        <w:t>畜禽粪污</w:t>
      </w:r>
      <w:r>
        <w:rPr>
          <w:rFonts w:hint="eastAsia" w:ascii="仿宋_GB2312" w:hAnsi="仿宋_GB2312" w:eastAsia="仿宋_GB2312" w:cs="仿宋_GB2312"/>
          <w:sz w:val="32"/>
          <w:szCs w:val="32"/>
        </w:rPr>
        <w:t>处理设施设备，满足防雨、防渗、防溢流和安全防护要求，并确保正常运行。交由第三方处理机构处理畜禽粪污的，应按照转运时间间隔建设粪污暂存设施。</w:t>
      </w:r>
      <w:r>
        <w:rPr>
          <w:rFonts w:hint="eastAsia" w:ascii="仿宋_GB2312" w:hAnsi="仿宋_GB2312" w:eastAsia="仿宋_GB2312" w:cs="仿宋_GB2312"/>
          <w:sz w:val="32"/>
          <w:szCs w:val="32"/>
          <w:lang w:eastAsia="zh-CN"/>
        </w:rPr>
        <w:t>畜禽</w:t>
      </w:r>
      <w:r>
        <w:rPr>
          <w:rFonts w:hint="eastAsia" w:ascii="仿宋_GB2312" w:hAnsi="仿宋_GB2312" w:eastAsia="仿宋_GB2312" w:cs="仿宋_GB2312"/>
          <w:sz w:val="32"/>
          <w:szCs w:val="32"/>
        </w:rPr>
        <w:t>养殖户应当采取措施，对畜禽</w:t>
      </w:r>
      <w:r>
        <w:rPr>
          <w:rFonts w:hint="eastAsia" w:ascii="仿宋_GB2312" w:hAnsi="仿宋_GB2312" w:eastAsia="仿宋_GB2312" w:cs="仿宋_GB2312"/>
          <w:sz w:val="32"/>
          <w:szCs w:val="32"/>
          <w:lang w:eastAsia="zh-CN"/>
        </w:rPr>
        <w:t>粪污</w:t>
      </w:r>
      <w:r>
        <w:rPr>
          <w:rFonts w:hint="eastAsia" w:ascii="仿宋_GB2312" w:hAnsi="仿宋_GB2312" w:eastAsia="仿宋_GB2312" w:cs="仿宋_GB2312"/>
          <w:sz w:val="32"/>
          <w:szCs w:val="32"/>
        </w:rPr>
        <w:t>进行科学处理，防止污染环境。</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eastAsia" w:eastAsia="仿宋_GB2312"/>
          <w:b/>
          <w:color w:val="000000"/>
          <w:sz w:val="32"/>
          <w:szCs w:val="32"/>
        </w:rPr>
      </w:pPr>
      <w:r>
        <w:rPr>
          <w:rFonts w:hint="eastAsia" w:ascii="仿宋_GB2312" w:hAnsi="仿宋_GB2312" w:eastAsia="仿宋_GB2312" w:cs="仿宋_GB2312"/>
          <w:sz w:val="32"/>
          <w:szCs w:val="32"/>
        </w:rPr>
        <w:t>3.田间配套设施建设。合理布局田间粪肥暂存设施，引导结合实际配备运输</w:t>
      </w:r>
      <w:r>
        <w:rPr>
          <w:rFonts w:hint="eastAsia" w:ascii="仿宋_GB2312" w:hAnsi="仿宋_GB2312" w:eastAsia="仿宋_GB2312" w:cs="仿宋_GB2312"/>
          <w:sz w:val="32"/>
          <w:szCs w:val="32"/>
          <w:lang w:eastAsia="zh-CN"/>
        </w:rPr>
        <w:t>罐车</w:t>
      </w:r>
      <w:r>
        <w:rPr>
          <w:rFonts w:hint="eastAsia" w:ascii="仿宋_GB2312" w:hAnsi="仿宋_GB2312" w:eastAsia="仿宋_GB2312" w:cs="仿宋_GB2312"/>
          <w:sz w:val="32"/>
          <w:szCs w:val="32"/>
        </w:rPr>
        <w:t>、肥水还田输送管道、</w:t>
      </w:r>
      <w:r>
        <w:rPr>
          <w:rFonts w:hint="eastAsia" w:ascii="仿宋_GB2312" w:hAnsi="仿宋_GB2312" w:eastAsia="仿宋_GB2312" w:cs="仿宋_GB2312"/>
          <w:sz w:val="32"/>
          <w:szCs w:val="32"/>
          <w:lang w:eastAsia="zh-CN"/>
        </w:rPr>
        <w:t>撒</w:t>
      </w:r>
      <w:r>
        <w:rPr>
          <w:rFonts w:hint="eastAsia" w:ascii="仿宋_GB2312" w:hAnsi="仿宋_GB2312" w:eastAsia="仿宋_GB2312" w:cs="仿宋_GB2312"/>
          <w:sz w:val="32"/>
          <w:szCs w:val="32"/>
        </w:rPr>
        <w:t>肥机等设施。鼓励通过机械深施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注射施肥等方式进行粪肥还田, 提高氮素利用率，减少养分损失和</w:t>
      </w:r>
      <w:r>
        <w:rPr>
          <w:rFonts w:hint="eastAsia" w:ascii="仿宋_GB2312" w:hAnsi="仿宋_GB2312" w:eastAsia="仿宋_GB2312" w:cs="仿宋_GB2312"/>
          <w:sz w:val="32"/>
          <w:szCs w:val="32"/>
          <w:lang w:eastAsia="zh-CN"/>
        </w:rPr>
        <w:t>氨挥</w:t>
      </w:r>
      <w:r>
        <w:rPr>
          <w:rFonts w:hint="eastAsia" w:ascii="仿宋_GB2312" w:hAnsi="仿宋_GB2312" w:eastAsia="仿宋_GB2312" w:cs="仿宋_GB2312"/>
          <w:sz w:val="32"/>
          <w:szCs w:val="32"/>
        </w:rPr>
        <w:t>发。</w:t>
      </w:r>
    </w:p>
    <w:p>
      <w:pPr>
        <w:spacing w:line="20" w:lineRule="exact"/>
      </w:pPr>
    </w:p>
    <w:p>
      <w:pPr>
        <w:widowControl/>
        <w:ind w:firstLine="630" w:firstLineChars="196"/>
        <w:jc w:val="left"/>
        <w:rPr>
          <w:rFonts w:ascii="楷体_GB2312" w:eastAsia="楷体_GB2312"/>
          <w:b/>
          <w:color w:val="000000"/>
          <w:sz w:val="32"/>
          <w:szCs w:val="32"/>
        </w:rPr>
      </w:pPr>
      <w:r>
        <w:rPr>
          <w:rFonts w:hint="eastAsia" w:ascii="楷体_GB2312" w:eastAsia="楷体_GB2312"/>
          <w:b/>
          <w:color w:val="000000"/>
          <w:sz w:val="32"/>
          <w:szCs w:val="32"/>
        </w:rPr>
        <w:t xml:space="preserve">（三）完善粪污处理和利用设施 </w:t>
      </w:r>
    </w:p>
    <w:p>
      <w:pPr>
        <w:widowControl/>
        <w:ind w:firstLine="630" w:firstLineChars="196"/>
        <w:jc w:val="left"/>
        <w:rPr>
          <w:rFonts w:eastAsia="仿宋_GB2312"/>
          <w:b/>
          <w:color w:val="000000"/>
          <w:sz w:val="32"/>
          <w:szCs w:val="32"/>
        </w:rPr>
      </w:pPr>
      <w:r>
        <w:rPr>
          <w:rFonts w:hint="eastAsia" w:eastAsia="仿宋_GB2312"/>
          <w:b/>
          <w:color w:val="000000"/>
          <w:sz w:val="32"/>
          <w:szCs w:val="32"/>
        </w:rPr>
        <w:t>1</w:t>
      </w:r>
      <w:r>
        <w:rPr>
          <w:rFonts w:eastAsia="仿宋_GB2312"/>
          <w:b/>
          <w:color w:val="000000"/>
          <w:sz w:val="32"/>
          <w:szCs w:val="32"/>
        </w:rPr>
        <w:t>.</w:t>
      </w:r>
      <w:r>
        <w:rPr>
          <w:rFonts w:hint="eastAsia" w:eastAsia="仿宋_GB2312"/>
          <w:b/>
          <w:color w:val="000000"/>
          <w:sz w:val="32"/>
          <w:szCs w:val="32"/>
        </w:rPr>
        <w:t xml:space="preserve">畜禽规模养殖场清洁生产设施建设 </w:t>
      </w:r>
    </w:p>
    <w:p>
      <w:pPr>
        <w:ind w:firstLine="633" w:firstLineChars="198"/>
        <w:outlineLvl w:val="1"/>
        <w:rPr>
          <w:rFonts w:eastAsia="仿宋_GB2312"/>
          <w:color w:val="000000"/>
          <w:sz w:val="32"/>
          <w:szCs w:val="32"/>
        </w:rPr>
      </w:pPr>
      <w:r>
        <w:rPr>
          <w:rFonts w:hint="eastAsia" w:eastAsia="仿宋_GB2312"/>
          <w:color w:val="000000"/>
          <w:sz w:val="32"/>
          <w:szCs w:val="32"/>
        </w:rPr>
        <w:t xml:space="preserve">畜禽养殖场环境质量及卫生控制应符合 </w:t>
      </w:r>
      <w:r>
        <w:rPr>
          <w:rFonts w:eastAsia="仿宋_GB2312"/>
          <w:color w:val="000000"/>
          <w:sz w:val="32"/>
          <w:szCs w:val="32"/>
        </w:rPr>
        <w:t xml:space="preserve">NY/T1167 </w:t>
      </w:r>
      <w:r>
        <w:rPr>
          <w:rFonts w:hint="eastAsia" w:eastAsia="仿宋_GB2312"/>
          <w:color w:val="000000"/>
          <w:sz w:val="32"/>
          <w:szCs w:val="32"/>
        </w:rPr>
        <w:t xml:space="preserve">的有关要求。畜禽养殖业污染治理应从源头控制，支持现有养殖场（户）圈舍及粪污贮存设施进行雨污分流改造，新建养殖场执行雨污分离。支持规模场更新设施设备和标准化改造栏舍，配备自动喂料、自动饮水、自动清粪等设施装备。优化饲料配方、提高饲养技术、管理水平。改善畜舍结构和通风供暖工艺，养殖栏舍配备通风排气装置、气体收集处理后排放等臭气和温室气体减控设施等。 </w:t>
      </w:r>
    </w:p>
    <w:p>
      <w:pPr>
        <w:widowControl/>
        <w:ind w:firstLine="630" w:firstLineChars="196"/>
        <w:jc w:val="left"/>
      </w:pPr>
      <w:r>
        <w:rPr>
          <w:rFonts w:eastAsia="仿宋_GB2312"/>
          <w:b/>
          <w:color w:val="000000"/>
          <w:sz w:val="32"/>
          <w:szCs w:val="32"/>
        </w:rPr>
        <w:t>2.</w:t>
      </w:r>
      <w:r>
        <w:rPr>
          <w:rFonts w:hint="eastAsia" w:eastAsia="仿宋_GB2312"/>
          <w:b/>
          <w:color w:val="000000"/>
          <w:sz w:val="32"/>
          <w:szCs w:val="32"/>
        </w:rPr>
        <w:t>畜禽规模养殖场粪污处理利用设施建设</w:t>
      </w:r>
    </w:p>
    <w:p>
      <w:pPr>
        <w:ind w:firstLine="633" w:firstLineChars="198"/>
        <w:outlineLvl w:val="1"/>
        <w:rPr>
          <w:rFonts w:eastAsia="仿宋_GB2312"/>
          <w:color w:val="000000"/>
          <w:sz w:val="32"/>
          <w:szCs w:val="32"/>
        </w:rPr>
      </w:pPr>
      <w:r>
        <w:rPr>
          <w:rFonts w:hint="eastAsia" w:eastAsia="仿宋_GB2312"/>
          <w:color w:val="000000"/>
          <w:sz w:val="32"/>
          <w:szCs w:val="32"/>
        </w:rPr>
        <w:t>按照《畜禽规模养殖污染防治条例》，对畜禽养殖场的污染防治设施的建设、验收和运行实行</w:t>
      </w:r>
      <w:r>
        <w:rPr>
          <w:rFonts w:eastAsia="仿宋_GB2312"/>
          <w:color w:val="000000"/>
          <w:sz w:val="32"/>
          <w:szCs w:val="32"/>
        </w:rPr>
        <w:t>“</w:t>
      </w:r>
      <w:r>
        <w:rPr>
          <w:rFonts w:hint="eastAsia" w:eastAsia="仿宋_GB2312"/>
          <w:color w:val="000000"/>
          <w:sz w:val="32"/>
          <w:szCs w:val="32"/>
        </w:rPr>
        <w:t>三同时</w:t>
      </w:r>
      <w:r>
        <w:rPr>
          <w:rFonts w:eastAsia="仿宋_GB2312"/>
          <w:color w:val="000000"/>
          <w:sz w:val="32"/>
          <w:szCs w:val="32"/>
        </w:rPr>
        <w:t>”</w:t>
      </w:r>
      <w:r>
        <w:rPr>
          <w:rFonts w:hint="eastAsia" w:eastAsia="仿宋_GB2312"/>
          <w:color w:val="000000"/>
          <w:sz w:val="32"/>
          <w:szCs w:val="32"/>
        </w:rPr>
        <w:t>制度。采用制造有机肥方式的，有机肥加工设施建设按具备相应规模工程设计资质单位的设计方案执行，产品应达到《有机肥料》（</w:t>
      </w:r>
      <w:r>
        <w:rPr>
          <w:rFonts w:eastAsia="仿宋_GB2312"/>
          <w:color w:val="000000"/>
          <w:sz w:val="32"/>
          <w:szCs w:val="32"/>
        </w:rPr>
        <w:t>NY</w:t>
      </w:r>
      <w:r>
        <w:rPr>
          <w:rFonts w:hint="eastAsia" w:eastAsia="仿宋_GB2312"/>
          <w:color w:val="000000"/>
          <w:sz w:val="32"/>
          <w:szCs w:val="32"/>
        </w:rPr>
        <w:t>/T</w:t>
      </w:r>
      <w:r>
        <w:rPr>
          <w:rFonts w:eastAsia="仿宋_GB2312"/>
          <w:color w:val="000000"/>
          <w:sz w:val="32"/>
          <w:szCs w:val="32"/>
        </w:rPr>
        <w:t xml:space="preserve"> 525</w:t>
      </w:r>
      <w:r>
        <w:rPr>
          <w:rFonts w:hint="eastAsia" w:eastAsia="仿宋_GB2312"/>
          <w:color w:val="000000"/>
          <w:sz w:val="32"/>
          <w:szCs w:val="32"/>
        </w:rPr>
        <w:t>）、《有机</w:t>
      </w:r>
      <w:r>
        <w:rPr>
          <w:rFonts w:eastAsia="仿宋_GB2312"/>
          <w:color w:val="000000"/>
          <w:sz w:val="32"/>
          <w:szCs w:val="32"/>
        </w:rPr>
        <w:t>-</w:t>
      </w:r>
      <w:r>
        <w:rPr>
          <w:rFonts w:hint="eastAsia" w:eastAsia="仿宋_GB2312"/>
          <w:color w:val="000000"/>
          <w:sz w:val="32"/>
          <w:szCs w:val="32"/>
        </w:rPr>
        <w:t>无机复混肥料》（</w:t>
      </w:r>
      <w:r>
        <w:rPr>
          <w:rFonts w:eastAsia="仿宋_GB2312"/>
          <w:color w:val="000000"/>
          <w:sz w:val="32"/>
          <w:szCs w:val="32"/>
        </w:rPr>
        <w:t>GB 18877</w:t>
      </w:r>
      <w:r>
        <w:rPr>
          <w:rFonts w:hint="eastAsia" w:eastAsia="仿宋_GB2312"/>
          <w:color w:val="000000"/>
          <w:sz w:val="32"/>
          <w:szCs w:val="32"/>
        </w:rPr>
        <w:t>）等要求后作为商品有机肥出售。采用沼气发酵的，建设厌氧消化反应器、沼气收集和处置系统、沼液沼渣分离和贮存系统，实现资源化产品的安全处置、妥善贮存和综合利用，做好冬季保温。采用堆肥发酵工艺的，应建设储存、发酵等场地，配备翻抛设备。委托第三方处理的，应具有合同。堆肥和沼气产物应符合《粪便无害化卫生标准》，经无害化处理后进行还田综合利用的。粪肥用量不能超过作物当年生长所需的养分量；在确定粪肥的最佳施用量时，应对土壤肥力和粪肥肥效进行测试评价，并符合当地环境容量的要求；推行轮作施肥，不长期施肥于同一土地。鼓励在畜禽养殖场与还田利用的农田之间应建立有效的粪肥输送网络。通过车载处理置后的粪肥输送至农田要加强管理</w:t>
      </w:r>
      <w:r>
        <w:rPr>
          <w:rFonts w:hint="eastAsia" w:eastAsia="仿宋_GB2312"/>
          <w:color w:val="000000"/>
          <w:sz w:val="32"/>
          <w:szCs w:val="32"/>
          <w:lang w:eastAsia="zh-CN"/>
        </w:rPr>
        <w:t>，</w:t>
      </w:r>
      <w:r>
        <w:rPr>
          <w:rFonts w:hint="eastAsia" w:eastAsia="仿宋_GB2312"/>
          <w:color w:val="000000"/>
          <w:sz w:val="32"/>
          <w:szCs w:val="32"/>
        </w:rPr>
        <w:t>严格控制污水输送沿途的弃、撒和跑、冒、滴、漏。</w:t>
      </w:r>
    </w:p>
    <w:p>
      <w:pPr>
        <w:widowControl/>
        <w:ind w:firstLine="630" w:firstLineChars="196"/>
        <w:jc w:val="left"/>
      </w:pPr>
      <w:r>
        <w:rPr>
          <w:rFonts w:eastAsia="仿宋_GB2312"/>
          <w:b/>
          <w:color w:val="000000"/>
          <w:sz w:val="32"/>
          <w:szCs w:val="32"/>
        </w:rPr>
        <w:t>3.</w:t>
      </w:r>
      <w:r>
        <w:rPr>
          <w:rFonts w:hint="eastAsia" w:eastAsia="仿宋_GB2312"/>
          <w:b/>
          <w:color w:val="000000"/>
          <w:sz w:val="32"/>
          <w:szCs w:val="32"/>
        </w:rPr>
        <w:t>规模以下养殖户清洁生产设施和粪污处理利用设施建设</w:t>
      </w:r>
    </w:p>
    <w:p>
      <w:pPr>
        <w:ind w:firstLine="633" w:firstLineChars="198"/>
        <w:outlineLvl w:val="1"/>
        <w:rPr>
          <w:rFonts w:eastAsia="仿宋_GB2312"/>
          <w:color w:val="000000"/>
          <w:sz w:val="32"/>
          <w:szCs w:val="32"/>
        </w:rPr>
      </w:pPr>
      <w:r>
        <w:rPr>
          <w:rFonts w:eastAsia="仿宋_GB2312"/>
          <w:color w:val="000000"/>
          <w:sz w:val="32"/>
          <w:szCs w:val="32"/>
        </w:rPr>
        <w:t>落实规模以下畜禽养殖户污染治理要求和主体责任，按照畜禽养殖污染治理疏堵结合、种养平衡、资源利用的原则，在散养密集区推广典型治理模式，</w:t>
      </w:r>
      <w:r>
        <w:rPr>
          <w:rFonts w:hint="eastAsia" w:eastAsia="仿宋_GB2312"/>
          <w:color w:val="000000"/>
          <w:sz w:val="32"/>
          <w:szCs w:val="32"/>
          <w:lang w:eastAsia="zh-CN"/>
        </w:rPr>
        <w:t>全区</w:t>
      </w:r>
      <w:r>
        <w:rPr>
          <w:rFonts w:eastAsia="仿宋_GB2312"/>
          <w:color w:val="000000"/>
          <w:sz w:val="32"/>
          <w:szCs w:val="32"/>
        </w:rPr>
        <w:t>推进种养结合和畜禽粪污资源 化利用。鼓励散养户通过与有机肥企业、专业沼气工程企业合作等方式处理畜禽粪污，并与周边高标准农田、果菜</w:t>
      </w:r>
      <w:r>
        <w:rPr>
          <w:rFonts w:hint="eastAsia" w:eastAsia="仿宋_GB2312"/>
          <w:color w:val="000000"/>
          <w:sz w:val="32"/>
          <w:szCs w:val="32"/>
        </w:rPr>
        <w:t>林</w:t>
      </w:r>
      <w:r>
        <w:rPr>
          <w:rFonts w:eastAsia="仿宋_GB2312"/>
          <w:color w:val="000000"/>
          <w:sz w:val="32"/>
          <w:szCs w:val="32"/>
        </w:rPr>
        <w:t>种植基地等种植主体加强联结，探索建立由第三方服务机构或 “龙头企业+散养户”联合开展畜禽养殖废弃物的统一收集、运 输、集中处置或资源化利用的运维模式。充分发挥乡镇、村级基层政府的监督力量，将养殖散户逐步纳入基层网格化管理，力争实现畜禽养殖污染防治全覆盖。</w:t>
      </w:r>
    </w:p>
    <w:p>
      <w:pPr>
        <w:widowControl/>
        <w:ind w:firstLine="627" w:firstLineChars="196"/>
        <w:jc w:val="left"/>
        <w:rPr>
          <w:rFonts w:eastAsia="仿宋_GB2312"/>
          <w:color w:val="000000"/>
          <w:sz w:val="32"/>
          <w:szCs w:val="32"/>
        </w:rPr>
      </w:pPr>
      <w:r>
        <w:rPr>
          <w:rFonts w:hint="eastAsia" w:eastAsia="仿宋_GB2312"/>
          <w:color w:val="000000"/>
          <w:sz w:val="32"/>
          <w:szCs w:val="32"/>
        </w:rPr>
        <w:t>鼓励和支持采取粪肥还田、制取沼气、沼气发电、制造有机肥等方法进行资源化利用，支持商品有机肥推广应用，扩大粪污利用半径。</w:t>
      </w:r>
    </w:p>
    <w:p>
      <w:pPr>
        <w:widowControl/>
        <w:ind w:firstLine="630" w:firstLineChars="196"/>
        <w:jc w:val="left"/>
        <w:rPr>
          <w:rFonts w:ascii="楷体_GB2312" w:eastAsia="楷体_GB2312"/>
          <w:b/>
          <w:color w:val="000000"/>
          <w:sz w:val="32"/>
          <w:szCs w:val="32"/>
        </w:rPr>
      </w:pPr>
      <w:r>
        <w:rPr>
          <w:rFonts w:hint="eastAsia" w:ascii="楷体_GB2312" w:eastAsia="楷体_GB2312"/>
          <w:b/>
          <w:color w:val="000000"/>
          <w:sz w:val="32"/>
          <w:szCs w:val="32"/>
        </w:rPr>
        <w:t xml:space="preserve">（四）完善台账管理制度 </w:t>
      </w:r>
    </w:p>
    <w:p>
      <w:pPr>
        <w:widowControl/>
        <w:ind w:firstLine="630" w:firstLineChars="196"/>
        <w:jc w:val="left"/>
        <w:rPr>
          <w:rFonts w:eastAsia="仿宋_GB2312"/>
          <w:b/>
          <w:color w:val="000000"/>
          <w:sz w:val="32"/>
          <w:szCs w:val="32"/>
        </w:rPr>
      </w:pPr>
      <w:r>
        <w:rPr>
          <w:rFonts w:eastAsia="仿宋_GB2312"/>
          <w:b/>
          <w:color w:val="000000"/>
          <w:sz w:val="32"/>
          <w:szCs w:val="32"/>
        </w:rPr>
        <w:t>1.</w:t>
      </w:r>
      <w:r>
        <w:rPr>
          <w:rFonts w:hint="eastAsia" w:eastAsia="仿宋_GB2312"/>
          <w:b/>
          <w:color w:val="000000"/>
          <w:sz w:val="32"/>
          <w:szCs w:val="32"/>
        </w:rPr>
        <w:t xml:space="preserve">加强宣传服务，逐步推进粪肥利用台账制度实施 </w:t>
      </w:r>
    </w:p>
    <w:p>
      <w:pPr>
        <w:ind w:firstLine="633" w:firstLineChars="198"/>
        <w:outlineLvl w:val="1"/>
        <w:rPr>
          <w:rFonts w:eastAsia="仿宋_GB2312"/>
          <w:color w:val="000000"/>
          <w:sz w:val="32"/>
          <w:szCs w:val="32"/>
        </w:rPr>
      </w:pPr>
      <w:r>
        <w:rPr>
          <w:rFonts w:hint="eastAsia" w:eastAsia="仿宋_GB2312"/>
          <w:color w:val="000000"/>
          <w:sz w:val="32"/>
          <w:szCs w:val="32"/>
        </w:rPr>
        <w:t xml:space="preserve">农业农村部办公厅、生态环境部办公厅联合印发《关于进一步明确畜禽粪污还田利用要求强化养殖污染监管的通知》，要求应提前确定粪肥还田利用计划，同时需建立粪污处理和粪肥利用台账，及时记录粪污日处理量和粪肥施用时间、施用量与施肥方式等，确保台账数据真实准确。加强相关法律法规以及粪污资源化利用有关政策要求的宣传，指导养殖场户知悉粪污治理的主体责任，树立粪肥台账记录的自觉性，确保填报信息的准确性、及时性。农业农村部门制定推进计划，以大型规模养殖场、规模养殖场为重点，大力推进粪肥利用台账制度，鼓励有条件的规模以下畜禽养殖场户填报，逐步完善粪肥利用台帐。组织精干力量采取多种方式加强对台账填报的培训，指导养殖场熟悉填报的具体项目内容、填写方式方法等。 </w:t>
      </w:r>
    </w:p>
    <w:p>
      <w:pPr>
        <w:widowControl/>
        <w:ind w:firstLine="630" w:firstLineChars="196"/>
        <w:jc w:val="left"/>
      </w:pPr>
      <w:r>
        <w:rPr>
          <w:rFonts w:hint="eastAsia" w:eastAsia="仿宋_GB2312"/>
          <w:b/>
          <w:color w:val="000000"/>
          <w:sz w:val="32"/>
          <w:szCs w:val="32"/>
        </w:rPr>
        <w:t>2</w:t>
      </w:r>
      <w:r>
        <w:rPr>
          <w:rFonts w:eastAsia="仿宋_GB2312"/>
          <w:b/>
          <w:color w:val="000000"/>
          <w:sz w:val="32"/>
          <w:szCs w:val="32"/>
        </w:rPr>
        <w:t>.</w:t>
      </w:r>
      <w:r>
        <w:rPr>
          <w:rFonts w:hint="eastAsia" w:eastAsia="仿宋_GB2312"/>
          <w:b/>
          <w:color w:val="000000"/>
          <w:sz w:val="32"/>
          <w:szCs w:val="32"/>
        </w:rPr>
        <w:t>层层落实责任，做好台账记录</w:t>
      </w:r>
    </w:p>
    <w:p>
      <w:pPr>
        <w:ind w:firstLine="633" w:firstLineChars="198"/>
        <w:outlineLvl w:val="1"/>
        <w:rPr>
          <w:rFonts w:eastAsia="仿宋_GB2312"/>
          <w:color w:val="000000"/>
          <w:sz w:val="32"/>
          <w:szCs w:val="32"/>
        </w:rPr>
      </w:pPr>
      <w:r>
        <w:rPr>
          <w:rFonts w:hint="eastAsia" w:eastAsia="仿宋_GB2312"/>
          <w:color w:val="000000"/>
          <w:sz w:val="32"/>
          <w:szCs w:val="32"/>
        </w:rPr>
        <w:t xml:space="preserve">参照省下发的台帐格式，按照适用、方便的原则，探索建立符合养殖场养殖畜禽种类实际以及粪污处理利用现状的台账格式。养殖场是台帐填报主体，需按照要求记录粪污资源化利用的管理台账，并分配专人进行记录和管理，明确“直联直报”系统信息员，做到责任到单位、到部门、到岗位、到人头，台账应至少保留 </w:t>
      </w:r>
      <w:r>
        <w:rPr>
          <w:rFonts w:eastAsia="仿宋_GB2312"/>
          <w:color w:val="000000"/>
          <w:sz w:val="32"/>
          <w:szCs w:val="32"/>
        </w:rPr>
        <w:t xml:space="preserve">2 </w:t>
      </w:r>
      <w:r>
        <w:rPr>
          <w:rFonts w:hint="eastAsia" w:eastAsia="仿宋_GB2312"/>
          <w:color w:val="000000"/>
          <w:sz w:val="32"/>
          <w:szCs w:val="32"/>
        </w:rPr>
        <w:t xml:space="preserve">年以上。各乡镇定期聘请专家对各个养殖单元进行现场指导粪污资源化利用化管理台账的记录和管理要点，各乡镇以及相关的管理部门加强对管理台账的监督检查工作，至少每年对每个养殖单元进行一次全方面的粪污资源化利用管理台账检查工作，对于未记录粪污资源化利用管理台账的养殖单元根据情况给予责令整改、警告、处罚等必要的处理措施。 </w:t>
      </w:r>
    </w:p>
    <w:p>
      <w:pPr>
        <w:widowControl/>
        <w:ind w:firstLine="630" w:firstLineChars="196"/>
        <w:jc w:val="left"/>
        <w:rPr>
          <w:rFonts w:ascii="楷体_GB2312" w:eastAsia="楷体_GB2312"/>
        </w:rPr>
      </w:pPr>
      <w:r>
        <w:rPr>
          <w:rFonts w:hint="eastAsia" w:ascii="楷体_GB2312" w:eastAsia="楷体_GB2312"/>
          <w:b/>
          <w:color w:val="000000"/>
          <w:sz w:val="32"/>
          <w:szCs w:val="32"/>
        </w:rPr>
        <w:t xml:space="preserve">（五）培育社会化服务组织 </w:t>
      </w:r>
    </w:p>
    <w:p>
      <w:pPr>
        <w:ind w:firstLine="633" w:firstLineChars="198"/>
        <w:outlineLvl w:val="1"/>
        <w:rPr>
          <w:rFonts w:eastAsia="仿宋_GB2312"/>
          <w:color w:val="000000"/>
          <w:sz w:val="32"/>
          <w:szCs w:val="32"/>
        </w:rPr>
      </w:pPr>
      <w:r>
        <w:rPr>
          <w:rFonts w:hint="eastAsia" w:eastAsia="仿宋_GB2312"/>
          <w:color w:val="000000"/>
          <w:sz w:val="32"/>
          <w:szCs w:val="32"/>
        </w:rPr>
        <w:t xml:space="preserve">坚持建设主体多元化、服务专业化、运行市场化的方向，加快构建以公益性服务与经营性服务相结合、专项服务与综合服务相协调的新型农业社会化服务体系，通过项目支持、资金补助、用地协调等政策措施积极引导和扶持农业社会化服务组织的发展。探索建立由第三方服务机构开展畜禽养殖废弃物的统一收集、运输、集中处置或技术运维模式。充分发挥乡镇、村级基层政府的监督力量，将养殖散户逐步纳入基层网格化管理，基本实现畜禽养殖污染防治全覆盖。 </w:t>
      </w:r>
    </w:p>
    <w:p>
      <w:pPr>
        <w:widowControl/>
        <w:ind w:firstLine="630" w:firstLineChars="196"/>
        <w:jc w:val="left"/>
        <w:rPr>
          <w:rFonts w:ascii="楷体_GB2312" w:eastAsia="楷体_GB2312"/>
          <w:b/>
          <w:color w:val="000000"/>
          <w:sz w:val="32"/>
          <w:szCs w:val="32"/>
        </w:rPr>
      </w:pPr>
      <w:r>
        <w:rPr>
          <w:rFonts w:hint="eastAsia" w:ascii="楷体_GB2312" w:eastAsia="楷体_GB2312"/>
          <w:b/>
          <w:color w:val="000000"/>
          <w:sz w:val="32"/>
          <w:szCs w:val="32"/>
        </w:rPr>
        <w:t xml:space="preserve">（六）强化畜禽养殖污染防治环境监管 </w:t>
      </w:r>
    </w:p>
    <w:p>
      <w:pPr>
        <w:widowControl/>
        <w:ind w:firstLine="630" w:firstLineChars="196"/>
        <w:jc w:val="left"/>
        <w:rPr>
          <w:rFonts w:eastAsia="仿宋_GB2312"/>
          <w:b/>
          <w:color w:val="000000"/>
          <w:sz w:val="32"/>
          <w:szCs w:val="32"/>
        </w:rPr>
      </w:pPr>
      <w:r>
        <w:rPr>
          <w:rFonts w:eastAsia="仿宋_GB2312"/>
          <w:b/>
          <w:color w:val="000000"/>
          <w:sz w:val="32"/>
          <w:szCs w:val="32"/>
        </w:rPr>
        <w:t>1.</w:t>
      </w:r>
      <w:r>
        <w:rPr>
          <w:rFonts w:hint="eastAsia" w:eastAsia="仿宋_GB2312"/>
          <w:b/>
          <w:color w:val="000000"/>
          <w:sz w:val="32"/>
          <w:szCs w:val="32"/>
        </w:rPr>
        <w:t xml:space="preserve">严格规模化畜禽养殖场环境准入 </w:t>
      </w:r>
    </w:p>
    <w:p>
      <w:pPr>
        <w:ind w:firstLine="633" w:firstLineChars="198"/>
        <w:outlineLvl w:val="1"/>
        <w:rPr>
          <w:rFonts w:eastAsia="仿宋_GB2312"/>
          <w:color w:val="000000"/>
          <w:sz w:val="32"/>
          <w:szCs w:val="32"/>
        </w:rPr>
      </w:pPr>
      <w:r>
        <w:rPr>
          <w:rFonts w:hint="eastAsia" w:eastAsia="仿宋_GB2312"/>
          <w:color w:val="000000"/>
          <w:sz w:val="32"/>
          <w:szCs w:val="32"/>
        </w:rPr>
        <w:t xml:space="preserve">畜牧业发展及行业规划的编制，应当统筹考虑环境承载能力及畜禽养殖污染防治要求，并依法开展畜牧业发展规划的环境影响评价，确保畜禽养殖产业发展符合区域环境功能定位和环境保护要求。新建养殖场（户）依照法律法规要求依法进行环境影响评价或备案。审批部门严格审批，对选址、工艺、污染防治措施等不合规的项目严控审批或备案。依据《排污许可证申请与核发技术规范-畜禽养殖行业》，对符合条件的企业核发排污许可证或办理排污许可登记手续。 </w:t>
      </w:r>
    </w:p>
    <w:p>
      <w:pPr>
        <w:widowControl/>
        <w:ind w:firstLine="630" w:firstLineChars="196"/>
        <w:jc w:val="left"/>
        <w:rPr>
          <w:rFonts w:eastAsia="仿宋_GB2312"/>
          <w:b/>
          <w:color w:val="000000"/>
          <w:sz w:val="32"/>
          <w:szCs w:val="32"/>
        </w:rPr>
      </w:pPr>
      <w:r>
        <w:rPr>
          <w:rFonts w:eastAsia="仿宋_GB2312"/>
          <w:b/>
          <w:color w:val="000000"/>
          <w:sz w:val="32"/>
          <w:szCs w:val="32"/>
        </w:rPr>
        <w:t>2.</w:t>
      </w:r>
      <w:r>
        <w:rPr>
          <w:rFonts w:hint="eastAsia" w:eastAsia="仿宋_GB2312"/>
          <w:b/>
          <w:color w:val="000000"/>
          <w:sz w:val="32"/>
          <w:szCs w:val="32"/>
        </w:rPr>
        <w:t xml:space="preserve">加强畜禽养殖业环境监督执法 </w:t>
      </w:r>
    </w:p>
    <w:p>
      <w:pPr>
        <w:ind w:firstLine="633" w:firstLineChars="198"/>
        <w:outlineLvl w:val="1"/>
        <w:rPr>
          <w:rFonts w:eastAsia="仿宋_GB2312"/>
          <w:color w:val="000000"/>
          <w:sz w:val="32"/>
          <w:szCs w:val="32"/>
        </w:rPr>
      </w:pPr>
      <w:r>
        <w:rPr>
          <w:rFonts w:hint="eastAsia" w:eastAsia="仿宋_GB2312"/>
          <w:color w:val="000000"/>
          <w:sz w:val="32"/>
          <w:szCs w:val="32"/>
        </w:rPr>
        <w:t>生态环境部门要牵头组织对规模养殖场环境影响评价、 “三同时”制度、持证排污、污染防治设施运行、污染物排放等行为开展执法检查，建立问题清单和责任清单，明确整改目标和整改时限，不搞简单的关停拆除</w:t>
      </w:r>
      <w:r>
        <w:rPr>
          <w:rFonts w:eastAsia="仿宋_GB2312"/>
          <w:color w:val="000000"/>
          <w:sz w:val="32"/>
          <w:szCs w:val="32"/>
        </w:rPr>
        <w:t>“</w:t>
      </w:r>
      <w:r>
        <w:rPr>
          <w:rFonts w:hint="eastAsia" w:eastAsia="仿宋_GB2312"/>
          <w:color w:val="000000"/>
          <w:sz w:val="32"/>
          <w:szCs w:val="32"/>
        </w:rPr>
        <w:t>一刀切</w:t>
      </w:r>
      <w:r>
        <w:rPr>
          <w:rFonts w:eastAsia="仿宋_GB2312"/>
          <w:color w:val="000000"/>
          <w:sz w:val="32"/>
          <w:szCs w:val="32"/>
        </w:rPr>
        <w:t>”</w:t>
      </w:r>
      <w:r>
        <w:rPr>
          <w:rFonts w:hint="eastAsia" w:eastAsia="仿宋_GB2312"/>
          <w:color w:val="000000"/>
          <w:sz w:val="32"/>
          <w:szCs w:val="32"/>
        </w:rPr>
        <w:t xml:space="preserve">。畅通环境信访举报途径，及时查处环境违法行为。 </w:t>
      </w:r>
    </w:p>
    <w:p>
      <w:pPr>
        <w:widowControl/>
        <w:ind w:firstLine="630" w:firstLineChars="196"/>
        <w:jc w:val="left"/>
        <w:rPr>
          <w:rFonts w:eastAsia="仿宋_GB2312"/>
          <w:b/>
          <w:color w:val="000000"/>
          <w:sz w:val="32"/>
          <w:szCs w:val="32"/>
        </w:rPr>
      </w:pPr>
      <w:r>
        <w:rPr>
          <w:rFonts w:eastAsia="仿宋_GB2312"/>
          <w:b/>
          <w:color w:val="000000"/>
          <w:sz w:val="32"/>
          <w:szCs w:val="32"/>
        </w:rPr>
        <w:t>3.</w:t>
      </w:r>
      <w:r>
        <w:rPr>
          <w:rFonts w:hint="eastAsia" w:eastAsia="仿宋_GB2312"/>
          <w:b/>
          <w:color w:val="000000"/>
          <w:sz w:val="32"/>
          <w:szCs w:val="32"/>
        </w:rPr>
        <w:t xml:space="preserve">落实养殖场户主体责任 </w:t>
      </w:r>
    </w:p>
    <w:p>
      <w:pPr>
        <w:ind w:firstLine="633" w:firstLineChars="198"/>
        <w:outlineLvl w:val="1"/>
        <w:rPr>
          <w:rFonts w:eastAsia="仿宋_GB2312"/>
          <w:color w:val="000000"/>
          <w:sz w:val="32"/>
          <w:szCs w:val="32"/>
        </w:rPr>
      </w:pPr>
      <w:r>
        <w:rPr>
          <w:rFonts w:hint="eastAsia" w:eastAsia="仿宋_GB2312"/>
          <w:color w:val="000000"/>
          <w:sz w:val="32"/>
          <w:szCs w:val="32"/>
        </w:rPr>
        <w:t xml:space="preserve">生态环境、农业农村等主管部门要加强宣传引导，督促养殖场（户）落实主体责任。农业农村部门应指导养殖场在投入使用前，建设完成相应的污水与雨水分流设施，畜禽粪便、污水的贮存设施，粪污厌氧消化和堆沤、有机肥加工、制取沼气、沼渣沼液分离和输送、污水处理、畜禽尸体处理等综合利用和无害化处理设施，或委托他人对畜禽养殖废弃物代为综合利用和无害化处理，未达到畜禽养殖污染防治要求的养殖场（户）不予安排有关补贴政策。 </w:t>
      </w:r>
    </w:p>
    <w:p>
      <w:pPr>
        <w:widowControl/>
        <w:ind w:firstLine="630" w:firstLineChars="196"/>
        <w:jc w:val="left"/>
        <w:rPr>
          <w:rFonts w:eastAsia="仿宋_GB2312"/>
          <w:b/>
          <w:color w:val="000000"/>
          <w:sz w:val="32"/>
          <w:szCs w:val="32"/>
        </w:rPr>
      </w:pPr>
      <w:r>
        <w:rPr>
          <w:rFonts w:eastAsia="仿宋_GB2312"/>
          <w:b/>
          <w:color w:val="000000"/>
          <w:sz w:val="32"/>
          <w:szCs w:val="32"/>
        </w:rPr>
        <w:t>4.</w:t>
      </w:r>
      <w:r>
        <w:rPr>
          <w:rFonts w:hint="eastAsia" w:eastAsia="仿宋_GB2312"/>
          <w:b/>
          <w:color w:val="000000"/>
          <w:sz w:val="32"/>
          <w:szCs w:val="32"/>
        </w:rPr>
        <w:t xml:space="preserve">提升畜禽养殖智慧环境管理水平 </w:t>
      </w:r>
    </w:p>
    <w:p>
      <w:pPr>
        <w:ind w:firstLine="633" w:firstLineChars="198"/>
        <w:outlineLvl w:val="1"/>
      </w:pPr>
      <w:r>
        <w:rPr>
          <w:rFonts w:hint="eastAsia" w:eastAsia="仿宋_GB2312"/>
          <w:color w:val="000000"/>
          <w:sz w:val="32"/>
          <w:szCs w:val="32"/>
        </w:rPr>
        <w:t>逐步建立健全畜禽养殖污染监测体系；强化粪污处理、资源化利用、病死畜禽处置等全过程监管，完善畜禽规模养殖场视频监控系统。</w:t>
      </w:r>
    </w:p>
    <w:p>
      <w:pPr>
        <w:widowControl/>
        <w:ind w:firstLine="640" w:firstLineChars="200"/>
        <w:jc w:val="left"/>
        <w:outlineLvl w:val="0"/>
        <w:rPr>
          <w:rFonts w:ascii="黑体" w:hAnsi="黑体" w:eastAsia="黑体"/>
          <w:color w:val="000000"/>
          <w:sz w:val="32"/>
          <w:szCs w:val="32"/>
        </w:rPr>
      </w:pPr>
      <w:bookmarkStart w:id="27" w:name="_Toc28627"/>
      <w:bookmarkStart w:id="28" w:name="_Toc15959"/>
      <w:r>
        <w:rPr>
          <w:rFonts w:hint="eastAsia" w:ascii="黑体" w:hAnsi="黑体" w:eastAsia="黑体"/>
          <w:color w:val="000000"/>
          <w:sz w:val="32"/>
          <w:szCs w:val="32"/>
          <w:lang w:eastAsia="zh-CN"/>
        </w:rPr>
        <w:t>五</w:t>
      </w:r>
      <w:r>
        <w:rPr>
          <w:rFonts w:hint="eastAsia" w:ascii="黑体" w:hAnsi="黑体" w:eastAsia="黑体"/>
          <w:color w:val="000000"/>
          <w:sz w:val="32"/>
          <w:szCs w:val="32"/>
        </w:rPr>
        <w:t>、效益分析</w:t>
      </w:r>
      <w:bookmarkEnd w:id="27"/>
      <w:bookmarkEnd w:id="28"/>
      <w:r>
        <w:rPr>
          <w:rFonts w:hint="eastAsia" w:ascii="黑体" w:hAnsi="黑体" w:eastAsia="黑体"/>
          <w:color w:val="000000"/>
          <w:sz w:val="32"/>
          <w:szCs w:val="32"/>
        </w:rPr>
        <w:t xml:space="preserve"> </w:t>
      </w:r>
    </w:p>
    <w:p>
      <w:pPr>
        <w:widowControl/>
        <w:ind w:firstLine="630" w:firstLineChars="196"/>
        <w:jc w:val="left"/>
        <w:rPr>
          <w:rFonts w:ascii="楷体_GB2312" w:eastAsia="楷体_GB2312"/>
        </w:rPr>
      </w:pPr>
      <w:r>
        <w:rPr>
          <w:rFonts w:hint="eastAsia" w:ascii="楷体_GB2312" w:eastAsia="楷体_GB2312"/>
          <w:b/>
          <w:color w:val="000000"/>
          <w:sz w:val="32"/>
          <w:szCs w:val="32"/>
        </w:rPr>
        <w:t>（一）经济效益</w:t>
      </w:r>
    </w:p>
    <w:p>
      <w:pPr>
        <w:widowControl/>
        <w:ind w:firstLine="640" w:firstLineChars="200"/>
        <w:jc w:val="left"/>
        <w:rPr>
          <w:rFonts w:eastAsia="仿宋_GB2312"/>
          <w:color w:val="000000"/>
          <w:sz w:val="32"/>
          <w:szCs w:val="32"/>
        </w:rPr>
      </w:pPr>
      <w:r>
        <w:rPr>
          <w:rFonts w:hint="eastAsia" w:eastAsia="仿宋_GB2312"/>
          <w:color w:val="000000"/>
          <w:sz w:val="32"/>
          <w:szCs w:val="32"/>
        </w:rPr>
        <w:t>规划实施后，能够有效推进</w:t>
      </w:r>
      <w:r>
        <w:rPr>
          <w:rFonts w:hint="eastAsia" w:eastAsia="仿宋_GB2312"/>
          <w:color w:val="000000"/>
          <w:sz w:val="32"/>
          <w:szCs w:val="32"/>
          <w:lang w:eastAsia="zh-CN"/>
        </w:rPr>
        <w:t>泰山景区</w:t>
      </w:r>
      <w:r>
        <w:rPr>
          <w:rFonts w:hint="eastAsia" w:eastAsia="仿宋_GB2312"/>
          <w:color w:val="000000"/>
          <w:sz w:val="32"/>
          <w:szCs w:val="32"/>
        </w:rPr>
        <w:t>畜禽养殖行业规范化、精细化发展，带动企业引进先进技术，舍弃落后养殖方式，能够有效促进</w:t>
      </w:r>
      <w:r>
        <w:rPr>
          <w:rFonts w:hint="eastAsia" w:eastAsia="仿宋_GB2312"/>
          <w:color w:val="000000"/>
          <w:sz w:val="32"/>
          <w:szCs w:val="32"/>
          <w:lang w:eastAsia="zh-CN"/>
        </w:rPr>
        <w:t>泰山景区</w:t>
      </w:r>
      <w:r>
        <w:rPr>
          <w:rFonts w:hint="eastAsia" w:eastAsia="仿宋_GB2312"/>
          <w:color w:val="000000"/>
          <w:sz w:val="32"/>
          <w:szCs w:val="32"/>
        </w:rPr>
        <w:t>畜禽养殖产业优质发展、企业增收和农民富裕。同时，在落实严格环境准入、强化污染源头管控、加强技术引导示范、推行清洁养殖方式等措施的同时，也将促进畜禽养殖业的结构调整和布局优化，引导产业生态化、规模化、集约化转型，增强可持续发展能力</w:t>
      </w:r>
      <w:r>
        <w:rPr>
          <w:rFonts w:hint="eastAsia" w:eastAsia="仿宋_GB2312"/>
          <w:color w:val="000000"/>
          <w:sz w:val="32"/>
          <w:szCs w:val="32"/>
          <w:lang w:eastAsia="zh-CN"/>
        </w:rPr>
        <w:t>，</w:t>
      </w:r>
      <w:r>
        <w:rPr>
          <w:rFonts w:hint="eastAsia" w:eastAsia="仿宋_GB2312"/>
          <w:color w:val="000000"/>
          <w:sz w:val="32"/>
          <w:szCs w:val="32"/>
        </w:rPr>
        <w:t xml:space="preserve">提升产业综合效益，拓宽创收渠道，增加地方财政收入，带动农民致富。 </w:t>
      </w:r>
    </w:p>
    <w:p>
      <w:pPr>
        <w:widowControl/>
        <w:ind w:firstLine="630" w:firstLineChars="196"/>
        <w:jc w:val="left"/>
        <w:rPr>
          <w:rFonts w:ascii="楷体_GB2312" w:eastAsia="楷体_GB2312"/>
          <w:b/>
          <w:color w:val="000000"/>
          <w:sz w:val="32"/>
          <w:szCs w:val="32"/>
        </w:rPr>
      </w:pPr>
      <w:r>
        <w:rPr>
          <w:rFonts w:hint="eastAsia" w:ascii="楷体_GB2312" w:eastAsia="楷体_GB2312"/>
          <w:b/>
          <w:color w:val="000000"/>
          <w:sz w:val="32"/>
          <w:szCs w:val="32"/>
        </w:rPr>
        <w:t xml:space="preserve">（二）社会效益 </w:t>
      </w:r>
    </w:p>
    <w:p>
      <w:pPr>
        <w:widowControl/>
        <w:ind w:firstLine="640" w:firstLineChars="200"/>
        <w:jc w:val="left"/>
        <w:rPr>
          <w:rFonts w:eastAsia="仿宋_GB2312"/>
          <w:color w:val="000000"/>
          <w:sz w:val="32"/>
          <w:szCs w:val="32"/>
        </w:rPr>
      </w:pPr>
      <w:r>
        <w:rPr>
          <w:rFonts w:hint="eastAsia" w:eastAsia="仿宋_GB2312"/>
          <w:color w:val="000000"/>
          <w:sz w:val="32"/>
          <w:szCs w:val="32"/>
        </w:rPr>
        <w:t>规划实施推动养殖粪污进一步收集和有效的处理处置，提升地区生态环境污染协调控制能力，减少各养殖场对周边农户生产、生活的影响，将百姓传统印象中养殖场</w:t>
      </w:r>
      <w:r>
        <w:rPr>
          <w:rFonts w:eastAsia="仿宋_GB2312"/>
          <w:color w:val="000000"/>
          <w:sz w:val="32"/>
          <w:szCs w:val="32"/>
        </w:rPr>
        <w:t>“</w:t>
      </w:r>
      <w:r>
        <w:rPr>
          <w:rFonts w:hint="eastAsia" w:eastAsia="仿宋_GB2312"/>
          <w:color w:val="000000"/>
          <w:sz w:val="32"/>
          <w:szCs w:val="32"/>
        </w:rPr>
        <w:t>脏、臭、差、污染大户</w:t>
      </w:r>
      <w:r>
        <w:rPr>
          <w:rFonts w:eastAsia="仿宋_GB2312"/>
          <w:color w:val="000000"/>
          <w:sz w:val="32"/>
          <w:szCs w:val="32"/>
        </w:rPr>
        <w:t>”</w:t>
      </w:r>
      <w:r>
        <w:rPr>
          <w:rFonts w:hint="eastAsia" w:eastAsia="仿宋_GB2312"/>
          <w:color w:val="000000"/>
          <w:sz w:val="32"/>
          <w:szCs w:val="32"/>
        </w:rPr>
        <w:t>的形象改变成</w:t>
      </w:r>
      <w:r>
        <w:rPr>
          <w:rFonts w:eastAsia="仿宋_GB2312"/>
          <w:color w:val="000000"/>
          <w:sz w:val="32"/>
          <w:szCs w:val="32"/>
        </w:rPr>
        <w:t>“</w:t>
      </w:r>
      <w:r>
        <w:rPr>
          <w:rFonts w:hint="eastAsia" w:eastAsia="仿宋_GB2312"/>
          <w:color w:val="000000"/>
          <w:sz w:val="32"/>
          <w:szCs w:val="32"/>
        </w:rPr>
        <w:t>整洁、有序、卫生、环保、生态</w:t>
      </w:r>
      <w:r>
        <w:rPr>
          <w:rFonts w:eastAsia="仿宋_GB2312"/>
          <w:color w:val="000000"/>
          <w:sz w:val="32"/>
          <w:szCs w:val="32"/>
        </w:rPr>
        <w:t>”</w:t>
      </w:r>
      <w:r>
        <w:rPr>
          <w:rFonts w:hint="eastAsia" w:eastAsia="仿宋_GB2312"/>
          <w:color w:val="000000"/>
          <w:sz w:val="32"/>
          <w:szCs w:val="32"/>
        </w:rPr>
        <w:t xml:space="preserve">新印象，极大改善各养殖场与周边群众的关系，促进社会和谐。通过依法划定禁养区并强化污染防治，对饮用水水源地、重要河流水系等环境敏感区域进行重点整治和保护，将有效提升农村饮用水安全保障水平，农村居民健康得到保障。各养殖场区环境的改善，进一步铲除了细菌、病原菌、蚊蝇等的生存场所，进而减少消毒杀菌及抗生素等药物的投入，提升畜禽产品品质，为社会公众提供健康保障。 </w:t>
      </w:r>
    </w:p>
    <w:p>
      <w:pPr>
        <w:widowControl/>
        <w:ind w:firstLine="630" w:firstLineChars="196"/>
        <w:jc w:val="left"/>
        <w:rPr>
          <w:rFonts w:ascii="楷体_GB2312" w:eastAsia="楷体_GB2312"/>
          <w:b/>
          <w:color w:val="000000"/>
          <w:sz w:val="32"/>
          <w:szCs w:val="32"/>
        </w:rPr>
      </w:pPr>
      <w:r>
        <w:rPr>
          <w:rFonts w:hint="eastAsia" w:ascii="楷体_GB2312" w:eastAsia="楷体_GB2312"/>
          <w:b/>
          <w:color w:val="000000"/>
          <w:sz w:val="32"/>
          <w:szCs w:val="32"/>
        </w:rPr>
        <w:t xml:space="preserve">（三）环境效益 </w:t>
      </w:r>
    </w:p>
    <w:p>
      <w:pPr>
        <w:widowControl/>
        <w:ind w:firstLine="640" w:firstLineChars="200"/>
        <w:jc w:val="left"/>
        <w:rPr>
          <w:rFonts w:ascii="黑体" w:hAnsi="黑体" w:eastAsia="黑体"/>
          <w:b/>
          <w:color w:val="000000"/>
          <w:sz w:val="32"/>
          <w:szCs w:val="32"/>
        </w:rPr>
      </w:pPr>
      <w:r>
        <w:rPr>
          <w:rFonts w:hint="eastAsia" w:eastAsia="仿宋_GB2312"/>
          <w:color w:val="000000"/>
          <w:sz w:val="32"/>
          <w:szCs w:val="32"/>
        </w:rPr>
        <w:t>养殖污染物通过治理和综合利用，实现污染物总量减排，推进环境质量改善。通过实施规模化养殖场（户）养殖废弃物综合利用和污染治理设施建设进程，减少污染物排放，通过环境准入和倒逼作用，消灭粪污直排和场外丢弃，能够有效改善区域水体环境、空气环境。</w:t>
      </w:r>
    </w:p>
    <w:p>
      <w:pPr>
        <w:widowControl/>
        <w:ind w:firstLine="627" w:firstLineChars="196"/>
        <w:jc w:val="left"/>
        <w:outlineLvl w:val="0"/>
        <w:rPr>
          <w:rFonts w:ascii="黑体" w:hAnsi="黑体" w:eastAsia="黑体"/>
          <w:color w:val="000000"/>
          <w:sz w:val="32"/>
          <w:szCs w:val="32"/>
        </w:rPr>
      </w:pPr>
      <w:bookmarkStart w:id="29" w:name="_Toc1060"/>
      <w:bookmarkStart w:id="30" w:name="_Toc4472"/>
      <w:r>
        <w:rPr>
          <w:rFonts w:hint="eastAsia" w:ascii="黑体" w:hAnsi="黑体" w:eastAsia="黑体"/>
          <w:color w:val="000000"/>
          <w:sz w:val="32"/>
          <w:szCs w:val="32"/>
          <w:lang w:eastAsia="zh-CN"/>
        </w:rPr>
        <w:t>六</w:t>
      </w:r>
      <w:r>
        <w:rPr>
          <w:rFonts w:hint="eastAsia" w:ascii="黑体" w:hAnsi="黑体" w:eastAsia="黑体"/>
          <w:color w:val="000000"/>
          <w:sz w:val="32"/>
          <w:szCs w:val="32"/>
        </w:rPr>
        <w:t>、保障措施</w:t>
      </w:r>
      <w:bookmarkEnd w:id="29"/>
      <w:bookmarkEnd w:id="30"/>
      <w:r>
        <w:rPr>
          <w:rFonts w:hint="eastAsia" w:ascii="黑体" w:hAnsi="黑体" w:eastAsia="黑体"/>
          <w:color w:val="000000"/>
          <w:sz w:val="32"/>
          <w:szCs w:val="32"/>
        </w:rPr>
        <w:t xml:space="preserve"> </w:t>
      </w:r>
    </w:p>
    <w:p>
      <w:pPr>
        <w:widowControl/>
        <w:ind w:firstLine="630" w:firstLineChars="196"/>
        <w:jc w:val="left"/>
        <w:rPr>
          <w:rFonts w:ascii="楷体_GB2312" w:eastAsia="楷体_GB2312"/>
          <w:b/>
          <w:color w:val="000000"/>
          <w:sz w:val="32"/>
          <w:szCs w:val="32"/>
        </w:rPr>
      </w:pPr>
      <w:r>
        <w:rPr>
          <w:rFonts w:hint="eastAsia" w:ascii="楷体_GB2312" w:eastAsia="楷体_GB2312"/>
          <w:b/>
          <w:color w:val="000000"/>
          <w:sz w:val="32"/>
          <w:szCs w:val="32"/>
        </w:rPr>
        <w:t xml:space="preserve">（一）加强领导，严格目标考核 </w:t>
      </w:r>
    </w:p>
    <w:p>
      <w:pPr>
        <w:ind w:firstLine="633" w:firstLineChars="198"/>
        <w:outlineLvl w:val="1"/>
        <w:rPr>
          <w:rFonts w:eastAsia="仿宋_GB2312"/>
          <w:color w:val="FF0000"/>
          <w:sz w:val="32"/>
          <w:szCs w:val="32"/>
        </w:rPr>
      </w:pPr>
      <w:r>
        <w:rPr>
          <w:rFonts w:hint="eastAsia" w:eastAsia="仿宋_GB2312"/>
          <w:color w:val="000000"/>
          <w:sz w:val="32"/>
          <w:szCs w:val="32"/>
          <w:lang w:eastAsia="zh-CN"/>
        </w:rPr>
        <w:t>泰山景区管委会</w:t>
      </w:r>
      <w:r>
        <w:rPr>
          <w:rFonts w:hint="eastAsia" w:eastAsia="仿宋_GB2312"/>
          <w:color w:val="000000"/>
          <w:sz w:val="32"/>
          <w:szCs w:val="32"/>
        </w:rPr>
        <w:t>加强对畜禽养殖污染防治工作的组织领导，加强污染防治工作协调，建立有效的部门沟通协作机制，按照部门职责分工，分解落实畜禽养殖污染防治任务，实现资源和信息共享，形成部门合力。将畜禽养殖污染防治任务完成情况作为政府年度目标责任考核的重要内容，层层明确目标任务，落实防治工作责任，并根据目标任务完成情况采取相应的奖惩措施。</w:t>
      </w:r>
    </w:p>
    <w:p>
      <w:pPr>
        <w:widowControl/>
        <w:ind w:firstLine="643" w:firstLineChars="200"/>
        <w:jc w:val="left"/>
        <w:rPr>
          <w:rFonts w:ascii="楷体_GB2312" w:eastAsia="楷体_GB2312"/>
          <w:b/>
          <w:color w:val="000000"/>
          <w:sz w:val="32"/>
          <w:szCs w:val="32"/>
        </w:rPr>
      </w:pPr>
      <w:r>
        <w:rPr>
          <w:rFonts w:hint="eastAsia" w:ascii="楷体_GB2312" w:eastAsia="楷体_GB2312"/>
          <w:b/>
          <w:color w:val="000000"/>
          <w:sz w:val="32"/>
          <w:szCs w:val="32"/>
        </w:rPr>
        <w:t xml:space="preserve">（二）明确重点，细化措施落实 </w:t>
      </w:r>
    </w:p>
    <w:p>
      <w:pPr>
        <w:widowControl/>
        <w:ind w:firstLine="640" w:firstLineChars="200"/>
        <w:jc w:val="left"/>
        <w:rPr>
          <w:rFonts w:eastAsia="仿宋_GB2312"/>
          <w:color w:val="000000"/>
          <w:sz w:val="32"/>
          <w:szCs w:val="32"/>
        </w:rPr>
      </w:pPr>
      <w:r>
        <w:rPr>
          <w:rFonts w:hint="eastAsia" w:eastAsia="仿宋_GB2312"/>
          <w:color w:val="000000"/>
          <w:sz w:val="32"/>
          <w:szCs w:val="32"/>
        </w:rPr>
        <w:t xml:space="preserve">突出重点，明确治理任务及进度，加强对重点地区的监督指导和政策扶持。通过多部门联合监督、专项监督和日常性监督等多种监管方式加大畜禽养殖污染日常监督和执法管理。加快各地畜禽养殖污染治理设施建设。加强对畜禽养殖业污染减排项目的督查和调度，确保完成减排目标任务。采取多种检查方式，重点加强对已完成治理的规模畜禽养殖场以及畜禽粪便收集处理设施的现场监督，对偷排、漏排、直排等违法行为依法严厉查处。将畜禽养殖污染治理与生态创建、各类农业财政扶持资格、各类生态环保评优考核等挂钩，不断加大综合整治力度。 </w:t>
      </w:r>
    </w:p>
    <w:p>
      <w:pPr>
        <w:widowControl/>
        <w:ind w:firstLine="627" w:firstLineChars="196"/>
        <w:jc w:val="left"/>
        <w:outlineLvl w:val="0"/>
        <w:rPr>
          <w:rFonts w:hint="eastAsia" w:ascii="黑体" w:hAnsi="黑体" w:eastAsia="黑体" w:cs="Times New Roman"/>
          <w:color w:val="000000"/>
          <w:sz w:val="32"/>
          <w:szCs w:val="32"/>
        </w:rPr>
      </w:pPr>
      <w:bookmarkStart w:id="31" w:name="_Toc1173"/>
      <w:bookmarkStart w:id="32" w:name="_Toc566"/>
      <w:r>
        <w:rPr>
          <w:rFonts w:hint="eastAsia" w:ascii="黑体" w:hAnsi="黑体" w:eastAsia="黑体" w:cs="Times New Roman"/>
          <w:color w:val="000000"/>
          <w:sz w:val="32"/>
          <w:szCs w:val="32"/>
          <w:lang w:eastAsia="zh-CN"/>
        </w:rPr>
        <w:t>七、</w:t>
      </w:r>
      <w:r>
        <w:rPr>
          <w:rFonts w:hint="eastAsia" w:ascii="黑体" w:hAnsi="黑体" w:eastAsia="黑体" w:cs="Times New Roman"/>
          <w:color w:val="000000"/>
          <w:sz w:val="32"/>
          <w:szCs w:val="32"/>
        </w:rPr>
        <w:t>加大宣传</w:t>
      </w:r>
      <w:bookmarkEnd w:id="31"/>
      <w:bookmarkEnd w:id="32"/>
    </w:p>
    <w:p>
      <w:pPr>
        <w:widowControl/>
        <w:ind w:firstLine="640" w:firstLineChars="200"/>
        <w:jc w:val="left"/>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大力宣传有关法律法规，及时解读项目相关支持政策，积极开展宣传动员工作，增强养殖业主的责任意识、环保意识、法律意识，强化畜禽养殖业主治理的法定责任落实，营造全社会推动畜禽养殖废弃物资源化利用的良好氛围。</w:t>
      </w:r>
    </w:p>
    <w:p>
      <w:pPr>
        <w:pStyle w:val="2"/>
        <w:outlineLvl w:val="0"/>
        <w:rPr>
          <w:rFonts w:hint="eastAsia" w:eastAsia="仿宋_GB2312"/>
        </w:rPr>
      </w:pPr>
      <w:bookmarkStart w:id="33" w:name="_Toc4653"/>
      <w:bookmarkStart w:id="34" w:name="_Toc22366"/>
    </w:p>
    <w:p>
      <w:pPr>
        <w:rPr>
          <w:rFonts w:hint="eastAsia" w:eastAsia="仿宋_GB2312"/>
        </w:rPr>
      </w:pPr>
    </w:p>
    <w:p>
      <w:pPr>
        <w:pStyle w:val="2"/>
        <w:rPr>
          <w:rFonts w:hint="eastAsia"/>
        </w:rPr>
      </w:pPr>
    </w:p>
    <w:p>
      <w:pPr>
        <w:pStyle w:val="2"/>
        <w:outlineLvl w:val="0"/>
        <w:rPr>
          <w:rFonts w:eastAsia="仿宋_GB2312"/>
        </w:rPr>
      </w:pPr>
      <w:r>
        <w:rPr>
          <w:rFonts w:hint="eastAsia" w:eastAsia="仿宋_GB2312"/>
        </w:rPr>
        <w:t>附表1</w:t>
      </w:r>
      <w:bookmarkEnd w:id="33"/>
      <w:bookmarkEnd w:id="34"/>
    </w:p>
    <w:p>
      <w:pPr>
        <w:pStyle w:val="2"/>
        <w:jc w:val="center"/>
        <w:outlineLvl w:val="0"/>
        <w:rPr>
          <w:rFonts w:asciiTheme="majorEastAsia" w:hAnsiTheme="majorEastAsia" w:eastAsiaTheme="majorEastAsia"/>
          <w:sz w:val="44"/>
          <w:szCs w:val="44"/>
        </w:rPr>
      </w:pPr>
      <w:bookmarkStart w:id="35" w:name="_Toc10359"/>
      <w:bookmarkStart w:id="36" w:name="_Toc28490"/>
      <w:r>
        <w:rPr>
          <w:rFonts w:hint="eastAsia" w:ascii="宋体" w:hAnsi="宋体" w:cs="宋体"/>
          <w:color w:val="000000"/>
          <w:kern w:val="0"/>
          <w:sz w:val="40"/>
          <w:szCs w:val="40"/>
        </w:rPr>
        <w:t>2020年</w:t>
      </w:r>
      <w:r>
        <w:rPr>
          <w:rFonts w:asciiTheme="majorEastAsia" w:hAnsiTheme="majorEastAsia" w:eastAsiaTheme="majorEastAsia"/>
          <w:sz w:val="44"/>
          <w:szCs w:val="44"/>
        </w:rPr>
        <w:t>畜禽规模养殖</w:t>
      </w:r>
      <w:r>
        <w:rPr>
          <w:rFonts w:hint="eastAsia" w:asciiTheme="majorEastAsia" w:hAnsiTheme="majorEastAsia" w:eastAsiaTheme="majorEastAsia"/>
          <w:sz w:val="44"/>
          <w:szCs w:val="44"/>
          <w:lang w:val="en-US" w:eastAsia="zh-CN"/>
        </w:rPr>
        <w:t>单位</w:t>
      </w:r>
      <w:r>
        <w:rPr>
          <w:rFonts w:hint="eastAsia" w:asciiTheme="majorEastAsia" w:hAnsiTheme="majorEastAsia" w:eastAsiaTheme="majorEastAsia"/>
          <w:sz w:val="44"/>
          <w:szCs w:val="44"/>
        </w:rPr>
        <w:t>名单</w:t>
      </w:r>
      <w:bookmarkEnd w:id="35"/>
      <w:bookmarkEnd w:id="36"/>
    </w:p>
    <w:tbl>
      <w:tblPr>
        <w:tblStyle w:val="18"/>
        <w:tblW w:w="8541" w:type="dxa"/>
        <w:tblInd w:w="93" w:type="dxa"/>
        <w:tblLayout w:type="fixed"/>
        <w:tblCellMar>
          <w:top w:w="0" w:type="dxa"/>
          <w:left w:w="108" w:type="dxa"/>
          <w:bottom w:w="0" w:type="dxa"/>
          <w:right w:w="108" w:type="dxa"/>
        </w:tblCellMar>
      </w:tblPr>
      <w:tblGrid>
        <w:gridCol w:w="608"/>
        <w:gridCol w:w="1248"/>
        <w:gridCol w:w="1243"/>
        <w:gridCol w:w="3161"/>
        <w:gridCol w:w="1141"/>
        <w:gridCol w:w="1140"/>
      </w:tblGrid>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序号</w:t>
            </w:r>
          </w:p>
        </w:tc>
        <w:tc>
          <w:tcPr>
            <w:tcW w:w="124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县（市、区）</w:t>
            </w:r>
          </w:p>
        </w:tc>
        <w:tc>
          <w:tcPr>
            <w:tcW w:w="12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乡镇</w:t>
            </w:r>
          </w:p>
        </w:tc>
        <w:tc>
          <w:tcPr>
            <w:tcW w:w="316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单位名称</w:t>
            </w:r>
          </w:p>
        </w:tc>
        <w:tc>
          <w:tcPr>
            <w:tcW w:w="1141"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养殖畜种</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备注</w:t>
            </w: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eastAsia="宋体" w:cs="宋体"/>
                <w:color w:val="000000"/>
                <w:sz w:val="22"/>
                <w:szCs w:val="22"/>
                <w:lang w:eastAsia="zh-CN"/>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徐宗胜</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eastAsia="宋体" w:cs="宋体"/>
                <w:color w:val="000000"/>
                <w:sz w:val="22"/>
                <w:szCs w:val="22"/>
                <w:lang w:eastAsia="zh-CN"/>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李荣峰</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徐汝斌</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张义杰（东场）</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魏述山</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李海龙</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范圣前</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李化合</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范圣华</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魏述山</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11</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魏传利</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张广富</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曹向军</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闫厚军</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范强</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李化生</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17</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刘合亮</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18</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孙健</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19</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刘合传</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20</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王俊利</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21</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倪庆福</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22</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张公新</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23</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张文</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24</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张君</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25</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刘增进</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26</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张义杰（西场）</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27</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李红泉</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28</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李光军</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29</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李荣峰</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30</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徐宗强</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367"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31</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张宗生</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32</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亓孝军</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33</w:t>
            </w:r>
          </w:p>
        </w:tc>
        <w:tc>
          <w:tcPr>
            <w:tcW w:w="124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243"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eastAsia="宋体" w:cs="宋体"/>
                <w:color w:val="000000"/>
                <w:sz w:val="22"/>
                <w:szCs w:val="22"/>
                <w:lang w:eastAsia="zh-CN"/>
              </w:rPr>
            </w:pPr>
            <w:r>
              <w:rPr>
                <w:rFonts w:hint="eastAsia" w:ascii="宋体" w:hAnsi="宋体" w:cs="宋体"/>
                <w:color w:val="000000"/>
                <w:sz w:val="22"/>
                <w:szCs w:val="22"/>
                <w:lang w:eastAsia="zh-CN"/>
              </w:rPr>
              <w:t>大津口乡</w:t>
            </w:r>
          </w:p>
        </w:tc>
        <w:tc>
          <w:tcPr>
            <w:tcW w:w="316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泰安海蓝种禽有限公司</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eastAsia="宋体" w:cs="宋体"/>
                <w:color w:val="000000"/>
                <w:sz w:val="22"/>
                <w:szCs w:val="22"/>
                <w:lang w:eastAsia="zh-CN"/>
              </w:rPr>
            </w:pPr>
            <w:r>
              <w:rPr>
                <w:rFonts w:hint="eastAsia" w:ascii="宋体" w:hAnsi="宋体" w:cs="宋体"/>
                <w:color w:val="000000"/>
                <w:sz w:val="22"/>
                <w:szCs w:val="22"/>
                <w:lang w:eastAsia="zh-CN"/>
              </w:rPr>
              <w:t>蛋鸡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bl>
    <w:p>
      <w:pPr>
        <w:pStyle w:val="2"/>
        <w:outlineLvl w:val="0"/>
        <w:rPr>
          <w:rFonts w:hint="eastAsia" w:eastAsia="仿宋_GB2312"/>
          <w:lang w:eastAsia="zh-CN"/>
        </w:rPr>
      </w:pPr>
      <w:bookmarkStart w:id="37" w:name="_Toc22072"/>
      <w:bookmarkStart w:id="38" w:name="_Toc18286"/>
      <w:r>
        <w:rPr>
          <w:rFonts w:hint="eastAsia" w:eastAsia="仿宋_GB2312"/>
        </w:rPr>
        <w:t>附表</w:t>
      </w:r>
      <w:r>
        <w:rPr>
          <w:rFonts w:hint="eastAsia" w:eastAsia="仿宋_GB2312"/>
          <w:lang w:val="en-US" w:eastAsia="zh-CN"/>
        </w:rPr>
        <w:t>2</w:t>
      </w:r>
      <w:bookmarkEnd w:id="37"/>
      <w:bookmarkEnd w:id="38"/>
    </w:p>
    <w:p>
      <w:pPr>
        <w:pStyle w:val="2"/>
        <w:jc w:val="center"/>
        <w:outlineLvl w:val="0"/>
        <w:rPr>
          <w:rFonts w:asciiTheme="majorEastAsia" w:hAnsiTheme="majorEastAsia" w:eastAsiaTheme="majorEastAsia"/>
          <w:sz w:val="44"/>
          <w:szCs w:val="44"/>
        </w:rPr>
      </w:pPr>
      <w:bookmarkStart w:id="39" w:name="_Toc14027"/>
      <w:bookmarkStart w:id="40" w:name="_Toc26618"/>
      <w:r>
        <w:rPr>
          <w:rFonts w:hint="eastAsia" w:ascii="宋体" w:hAnsi="宋体" w:cs="宋体"/>
          <w:color w:val="000000"/>
          <w:kern w:val="0"/>
          <w:sz w:val="40"/>
          <w:szCs w:val="40"/>
        </w:rPr>
        <w:t>2020年</w:t>
      </w:r>
      <w:r>
        <w:rPr>
          <w:rFonts w:asciiTheme="majorEastAsia" w:hAnsiTheme="majorEastAsia" w:eastAsiaTheme="majorEastAsia"/>
          <w:sz w:val="44"/>
          <w:szCs w:val="44"/>
        </w:rPr>
        <w:t>养殖</w:t>
      </w:r>
      <w:r>
        <w:rPr>
          <w:rFonts w:hint="eastAsia" w:asciiTheme="majorEastAsia" w:hAnsiTheme="majorEastAsia" w:eastAsiaTheme="majorEastAsia"/>
          <w:sz w:val="44"/>
          <w:szCs w:val="44"/>
          <w:lang w:eastAsia="zh-CN"/>
        </w:rPr>
        <w:t>专业户</w:t>
      </w:r>
      <w:r>
        <w:rPr>
          <w:rFonts w:hint="eastAsia" w:asciiTheme="majorEastAsia" w:hAnsiTheme="majorEastAsia" w:eastAsiaTheme="majorEastAsia"/>
          <w:sz w:val="44"/>
          <w:szCs w:val="44"/>
          <w:lang w:val="en-US" w:eastAsia="zh-CN"/>
        </w:rPr>
        <w:t>单位</w:t>
      </w:r>
      <w:r>
        <w:rPr>
          <w:rFonts w:hint="eastAsia" w:asciiTheme="majorEastAsia" w:hAnsiTheme="majorEastAsia" w:eastAsiaTheme="majorEastAsia"/>
          <w:sz w:val="44"/>
          <w:szCs w:val="44"/>
        </w:rPr>
        <w:t>名单</w:t>
      </w:r>
      <w:bookmarkEnd w:id="39"/>
      <w:bookmarkEnd w:id="40"/>
    </w:p>
    <w:tbl>
      <w:tblPr>
        <w:tblStyle w:val="18"/>
        <w:tblW w:w="8541" w:type="dxa"/>
        <w:tblInd w:w="93" w:type="dxa"/>
        <w:tblLayout w:type="fixed"/>
        <w:tblCellMar>
          <w:top w:w="0" w:type="dxa"/>
          <w:left w:w="108" w:type="dxa"/>
          <w:bottom w:w="0" w:type="dxa"/>
          <w:right w:w="108" w:type="dxa"/>
        </w:tblCellMar>
      </w:tblPr>
      <w:tblGrid>
        <w:gridCol w:w="608"/>
        <w:gridCol w:w="1162"/>
        <w:gridCol w:w="1072"/>
        <w:gridCol w:w="3418"/>
        <w:gridCol w:w="1141"/>
        <w:gridCol w:w="1140"/>
      </w:tblGrid>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序号</w:t>
            </w:r>
          </w:p>
        </w:tc>
        <w:tc>
          <w:tcPr>
            <w:tcW w:w="1162"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县市区</w:t>
            </w:r>
          </w:p>
        </w:tc>
        <w:tc>
          <w:tcPr>
            <w:tcW w:w="10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eastAsia="zh-CN"/>
              </w:rPr>
              <w:t>乡镇</w:t>
            </w:r>
          </w:p>
        </w:tc>
        <w:tc>
          <w:tcPr>
            <w:tcW w:w="341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单位名称</w:t>
            </w:r>
          </w:p>
        </w:tc>
        <w:tc>
          <w:tcPr>
            <w:tcW w:w="1141"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养殖畜种</w:t>
            </w:r>
          </w:p>
        </w:tc>
        <w:tc>
          <w:tcPr>
            <w:tcW w:w="114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备注</w:t>
            </w: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李光华</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谢峰</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张广杰</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4</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杨仁迎</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5</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韩金峰</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81"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6</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倪西贵</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7</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王柏利</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8</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赵峰</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9</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闫仲星</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10</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李长臣</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11</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范圣修</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12</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李光双</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13</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李培岱</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14</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倪西林</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15</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李本东</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肉鸡</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60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rPr>
              <w:t>16</w:t>
            </w:r>
          </w:p>
        </w:tc>
        <w:tc>
          <w:tcPr>
            <w:tcW w:w="116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val="en-US" w:eastAsia="zh-CN"/>
              </w:rPr>
              <w:t>泰山景区</w:t>
            </w:r>
          </w:p>
        </w:tc>
        <w:tc>
          <w:tcPr>
            <w:tcW w:w="1072"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lang w:eastAsia="zh-CN"/>
              </w:rPr>
              <w:t>下港镇</w:t>
            </w:r>
          </w:p>
        </w:tc>
        <w:tc>
          <w:tcPr>
            <w:tcW w:w="3418"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ascii="宋体" w:hAnsi="宋体" w:cs="宋体"/>
                <w:color w:val="000000"/>
                <w:sz w:val="22"/>
                <w:szCs w:val="22"/>
              </w:rPr>
            </w:pPr>
            <w:r>
              <w:rPr>
                <w:rFonts w:hint="eastAsia" w:ascii="宋体" w:hAnsi="宋体" w:cs="宋体"/>
                <w:color w:val="000000"/>
                <w:sz w:val="22"/>
                <w:szCs w:val="22"/>
              </w:rPr>
              <w:t>李和峰</w:t>
            </w:r>
          </w:p>
        </w:tc>
        <w:tc>
          <w:tcPr>
            <w:tcW w:w="1141"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eastAsia="宋体" w:cs="宋体"/>
                <w:color w:val="000000"/>
                <w:sz w:val="22"/>
                <w:szCs w:val="22"/>
                <w:lang w:eastAsia="zh-CN"/>
              </w:rPr>
            </w:pPr>
            <w:r>
              <w:rPr>
                <w:rFonts w:hint="eastAsia" w:ascii="宋体" w:hAnsi="宋体" w:cs="宋体"/>
                <w:color w:val="000000"/>
                <w:sz w:val="22"/>
                <w:szCs w:val="22"/>
                <w:lang w:eastAsia="zh-CN"/>
              </w:rPr>
              <w:t>生猪</w:t>
            </w:r>
          </w:p>
        </w:tc>
        <w:tc>
          <w:tcPr>
            <w:tcW w:w="1140" w:type="dxa"/>
            <w:tcBorders>
              <w:top w:val="single" w:color="000000" w:sz="4" w:space="0"/>
              <w:left w:val="single" w:color="000000" w:sz="4" w:space="0"/>
              <w:bottom w:val="single" w:color="000000" w:sz="4" w:space="0"/>
              <w:right w:val="single" w:color="000000" w:sz="4" w:space="0"/>
            </w:tcBorders>
            <w:noWrap/>
            <w:vAlign w:val="bottom"/>
          </w:tcPr>
          <w:p>
            <w:pPr>
              <w:widowControl/>
              <w:jc w:val="center"/>
              <w:textAlignment w:val="bottom"/>
              <w:rPr>
                <w:rFonts w:hint="eastAsia" w:ascii="宋体" w:hAnsi="宋体" w:cs="宋体"/>
                <w:color w:val="000000"/>
                <w:kern w:val="0"/>
                <w:sz w:val="22"/>
                <w:szCs w:val="22"/>
              </w:rPr>
            </w:pPr>
          </w:p>
        </w:tc>
      </w:tr>
    </w:tbl>
    <w:p/>
    <w:sectPr>
      <w:footerReference r:id="rId4" w:type="default"/>
      <w:pgSz w:w="11906" w:h="16838"/>
      <w:pgMar w:top="1418" w:right="1531" w:bottom="1418" w:left="1531" w:header="851" w:footer="73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2"/>
      </w:rPr>
    </w:pPr>
    <w:r>
      <w:fldChar w:fldCharType="begin"/>
    </w:r>
    <w:r>
      <w:rPr>
        <w:rStyle w:val="22"/>
      </w:rPr>
      <w:instrText xml:space="preserve">PAGE  </w:instrText>
    </w:r>
    <w:r>
      <w:fldChar w:fldCharType="separate"/>
    </w:r>
    <w:r>
      <w:rPr>
        <w:rStyle w:val="22"/>
      </w:rPr>
      <w:t>9</w:t>
    </w:r>
    <w: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BFFB7B"/>
    <w:multiLevelType w:val="singleLevel"/>
    <w:tmpl w:val="A6BFFB7B"/>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FmNTk0MzM5MTQ0ODExZDk3YWE2NmE5N2E1OTJlMDYifQ=="/>
  </w:docVars>
  <w:rsids>
    <w:rsidRoot w:val="00172A27"/>
    <w:rsid w:val="00004583"/>
    <w:rsid w:val="000051F5"/>
    <w:rsid w:val="00005DBE"/>
    <w:rsid w:val="000060FA"/>
    <w:rsid w:val="00010EEC"/>
    <w:rsid w:val="00012F7F"/>
    <w:rsid w:val="00014AB7"/>
    <w:rsid w:val="00021660"/>
    <w:rsid w:val="0002379D"/>
    <w:rsid w:val="0002651D"/>
    <w:rsid w:val="00034FE0"/>
    <w:rsid w:val="00035B60"/>
    <w:rsid w:val="00037CD3"/>
    <w:rsid w:val="00045A40"/>
    <w:rsid w:val="000465E3"/>
    <w:rsid w:val="00046CAE"/>
    <w:rsid w:val="00052FB9"/>
    <w:rsid w:val="00053F61"/>
    <w:rsid w:val="000601B0"/>
    <w:rsid w:val="00066698"/>
    <w:rsid w:val="000673DF"/>
    <w:rsid w:val="00070A89"/>
    <w:rsid w:val="00077095"/>
    <w:rsid w:val="0008217C"/>
    <w:rsid w:val="000827A2"/>
    <w:rsid w:val="00083265"/>
    <w:rsid w:val="00083450"/>
    <w:rsid w:val="000876A2"/>
    <w:rsid w:val="0008798A"/>
    <w:rsid w:val="000901BD"/>
    <w:rsid w:val="000932F7"/>
    <w:rsid w:val="0009475C"/>
    <w:rsid w:val="00095177"/>
    <w:rsid w:val="000970BF"/>
    <w:rsid w:val="000A16F3"/>
    <w:rsid w:val="000A3E80"/>
    <w:rsid w:val="000B2CC6"/>
    <w:rsid w:val="000B3C2C"/>
    <w:rsid w:val="000B4CC9"/>
    <w:rsid w:val="000B5F37"/>
    <w:rsid w:val="000C2C1C"/>
    <w:rsid w:val="000C647B"/>
    <w:rsid w:val="000D347A"/>
    <w:rsid w:val="000D441F"/>
    <w:rsid w:val="000D5D71"/>
    <w:rsid w:val="000D7B10"/>
    <w:rsid w:val="000E196E"/>
    <w:rsid w:val="000E374E"/>
    <w:rsid w:val="000F0151"/>
    <w:rsid w:val="00101781"/>
    <w:rsid w:val="0010196D"/>
    <w:rsid w:val="001029B8"/>
    <w:rsid w:val="001041E3"/>
    <w:rsid w:val="00106890"/>
    <w:rsid w:val="001100E8"/>
    <w:rsid w:val="0011023E"/>
    <w:rsid w:val="001127DB"/>
    <w:rsid w:val="001129C4"/>
    <w:rsid w:val="00112C95"/>
    <w:rsid w:val="00114054"/>
    <w:rsid w:val="00116E3A"/>
    <w:rsid w:val="001219EE"/>
    <w:rsid w:val="00123BD3"/>
    <w:rsid w:val="00124769"/>
    <w:rsid w:val="00130C87"/>
    <w:rsid w:val="00134F96"/>
    <w:rsid w:val="00135E8E"/>
    <w:rsid w:val="0013782B"/>
    <w:rsid w:val="00141FA3"/>
    <w:rsid w:val="001439D5"/>
    <w:rsid w:val="00147AC1"/>
    <w:rsid w:val="00152B6F"/>
    <w:rsid w:val="00155767"/>
    <w:rsid w:val="00155B7F"/>
    <w:rsid w:val="001576F6"/>
    <w:rsid w:val="00160663"/>
    <w:rsid w:val="00160A93"/>
    <w:rsid w:val="001627EB"/>
    <w:rsid w:val="00163842"/>
    <w:rsid w:val="001649DD"/>
    <w:rsid w:val="00172A27"/>
    <w:rsid w:val="00174284"/>
    <w:rsid w:val="00175ABD"/>
    <w:rsid w:val="00183AFD"/>
    <w:rsid w:val="00187B3F"/>
    <w:rsid w:val="001924B2"/>
    <w:rsid w:val="0019356E"/>
    <w:rsid w:val="00196EF1"/>
    <w:rsid w:val="001A0654"/>
    <w:rsid w:val="001A22D5"/>
    <w:rsid w:val="001B51E2"/>
    <w:rsid w:val="001C05E3"/>
    <w:rsid w:val="001D00B1"/>
    <w:rsid w:val="001D21C6"/>
    <w:rsid w:val="001D5208"/>
    <w:rsid w:val="001D530F"/>
    <w:rsid w:val="001E39C3"/>
    <w:rsid w:val="001E572D"/>
    <w:rsid w:val="001E7797"/>
    <w:rsid w:val="001F1D37"/>
    <w:rsid w:val="001F2C56"/>
    <w:rsid w:val="001F555C"/>
    <w:rsid w:val="001F61D1"/>
    <w:rsid w:val="00204EDC"/>
    <w:rsid w:val="00213BBF"/>
    <w:rsid w:val="00214BD2"/>
    <w:rsid w:val="00217F4C"/>
    <w:rsid w:val="00221112"/>
    <w:rsid w:val="00221EEA"/>
    <w:rsid w:val="0022263D"/>
    <w:rsid w:val="002376F2"/>
    <w:rsid w:val="00241DE7"/>
    <w:rsid w:val="00243167"/>
    <w:rsid w:val="00243726"/>
    <w:rsid w:val="002441B8"/>
    <w:rsid w:val="00251FB0"/>
    <w:rsid w:val="002534F6"/>
    <w:rsid w:val="00255384"/>
    <w:rsid w:val="002559A1"/>
    <w:rsid w:val="002568C4"/>
    <w:rsid w:val="00256C12"/>
    <w:rsid w:val="00260E45"/>
    <w:rsid w:val="00260F27"/>
    <w:rsid w:val="0026322B"/>
    <w:rsid w:val="00270152"/>
    <w:rsid w:val="00271C49"/>
    <w:rsid w:val="00273990"/>
    <w:rsid w:val="00281EA6"/>
    <w:rsid w:val="00283A27"/>
    <w:rsid w:val="00285724"/>
    <w:rsid w:val="0028741C"/>
    <w:rsid w:val="002A0C6E"/>
    <w:rsid w:val="002A3CB3"/>
    <w:rsid w:val="002A3D52"/>
    <w:rsid w:val="002A5228"/>
    <w:rsid w:val="002A6C69"/>
    <w:rsid w:val="002A7347"/>
    <w:rsid w:val="002B0B5B"/>
    <w:rsid w:val="002B25E7"/>
    <w:rsid w:val="002B7732"/>
    <w:rsid w:val="002C1F9A"/>
    <w:rsid w:val="002C4584"/>
    <w:rsid w:val="002C5961"/>
    <w:rsid w:val="002D1E39"/>
    <w:rsid w:val="002D35A1"/>
    <w:rsid w:val="002D4B4D"/>
    <w:rsid w:val="002E00DB"/>
    <w:rsid w:val="002E7E9A"/>
    <w:rsid w:val="002F14ED"/>
    <w:rsid w:val="002F66B8"/>
    <w:rsid w:val="00300639"/>
    <w:rsid w:val="003021F7"/>
    <w:rsid w:val="003029C2"/>
    <w:rsid w:val="003050D9"/>
    <w:rsid w:val="003051B7"/>
    <w:rsid w:val="003051EC"/>
    <w:rsid w:val="00311D9D"/>
    <w:rsid w:val="00314003"/>
    <w:rsid w:val="00314DE2"/>
    <w:rsid w:val="00316BDA"/>
    <w:rsid w:val="00322269"/>
    <w:rsid w:val="00322CAC"/>
    <w:rsid w:val="0033030E"/>
    <w:rsid w:val="003324B9"/>
    <w:rsid w:val="00335ECE"/>
    <w:rsid w:val="00337A41"/>
    <w:rsid w:val="00343BAB"/>
    <w:rsid w:val="00350541"/>
    <w:rsid w:val="00353043"/>
    <w:rsid w:val="00360CA9"/>
    <w:rsid w:val="003669E9"/>
    <w:rsid w:val="00366EE6"/>
    <w:rsid w:val="00372D3C"/>
    <w:rsid w:val="00375313"/>
    <w:rsid w:val="003762D4"/>
    <w:rsid w:val="00377058"/>
    <w:rsid w:val="0039125B"/>
    <w:rsid w:val="00394AFC"/>
    <w:rsid w:val="00397B3C"/>
    <w:rsid w:val="003A15FC"/>
    <w:rsid w:val="003A4BCB"/>
    <w:rsid w:val="003A5BC2"/>
    <w:rsid w:val="003B008F"/>
    <w:rsid w:val="003B2D7F"/>
    <w:rsid w:val="003B5909"/>
    <w:rsid w:val="003B7309"/>
    <w:rsid w:val="003B7FBC"/>
    <w:rsid w:val="003C10E0"/>
    <w:rsid w:val="003C1D32"/>
    <w:rsid w:val="003D1E01"/>
    <w:rsid w:val="003D2FCC"/>
    <w:rsid w:val="003D4006"/>
    <w:rsid w:val="003D4429"/>
    <w:rsid w:val="003D4F8D"/>
    <w:rsid w:val="003D600D"/>
    <w:rsid w:val="003D6AE2"/>
    <w:rsid w:val="003E06FC"/>
    <w:rsid w:val="003E33A5"/>
    <w:rsid w:val="003F1A1E"/>
    <w:rsid w:val="003F53E5"/>
    <w:rsid w:val="003F73E3"/>
    <w:rsid w:val="00400FE1"/>
    <w:rsid w:val="00402DC1"/>
    <w:rsid w:val="0040372A"/>
    <w:rsid w:val="00403CD8"/>
    <w:rsid w:val="00404627"/>
    <w:rsid w:val="004058CA"/>
    <w:rsid w:val="00406994"/>
    <w:rsid w:val="0041107C"/>
    <w:rsid w:val="00412EF9"/>
    <w:rsid w:val="00413791"/>
    <w:rsid w:val="00415B59"/>
    <w:rsid w:val="00415CCC"/>
    <w:rsid w:val="00417F9E"/>
    <w:rsid w:val="00425BA7"/>
    <w:rsid w:val="004269CD"/>
    <w:rsid w:val="00427887"/>
    <w:rsid w:val="00431161"/>
    <w:rsid w:val="00433197"/>
    <w:rsid w:val="00436D3A"/>
    <w:rsid w:val="00437DC7"/>
    <w:rsid w:val="00440C23"/>
    <w:rsid w:val="00441A3A"/>
    <w:rsid w:val="00442A9B"/>
    <w:rsid w:val="0044340C"/>
    <w:rsid w:val="00444739"/>
    <w:rsid w:val="004575AE"/>
    <w:rsid w:val="00463770"/>
    <w:rsid w:val="0046557E"/>
    <w:rsid w:val="004707F7"/>
    <w:rsid w:val="00470D5F"/>
    <w:rsid w:val="00474754"/>
    <w:rsid w:val="00475A53"/>
    <w:rsid w:val="004825C0"/>
    <w:rsid w:val="004905B7"/>
    <w:rsid w:val="004966E9"/>
    <w:rsid w:val="00496E2C"/>
    <w:rsid w:val="004A02CF"/>
    <w:rsid w:val="004A0FE7"/>
    <w:rsid w:val="004A171C"/>
    <w:rsid w:val="004A4278"/>
    <w:rsid w:val="004A4B1B"/>
    <w:rsid w:val="004A7347"/>
    <w:rsid w:val="004B18EF"/>
    <w:rsid w:val="004B4F7F"/>
    <w:rsid w:val="004B53CF"/>
    <w:rsid w:val="004B62E6"/>
    <w:rsid w:val="004C0069"/>
    <w:rsid w:val="004C0A03"/>
    <w:rsid w:val="004C0CB7"/>
    <w:rsid w:val="004C3925"/>
    <w:rsid w:val="004C5B77"/>
    <w:rsid w:val="004C6D04"/>
    <w:rsid w:val="004D5197"/>
    <w:rsid w:val="004D51BB"/>
    <w:rsid w:val="004D597A"/>
    <w:rsid w:val="004D6673"/>
    <w:rsid w:val="004E40B5"/>
    <w:rsid w:val="004E60B9"/>
    <w:rsid w:val="004F2748"/>
    <w:rsid w:val="004F28E8"/>
    <w:rsid w:val="004F53E1"/>
    <w:rsid w:val="004F586B"/>
    <w:rsid w:val="004F6A18"/>
    <w:rsid w:val="004F7009"/>
    <w:rsid w:val="005004D1"/>
    <w:rsid w:val="005019FA"/>
    <w:rsid w:val="005029C7"/>
    <w:rsid w:val="00511449"/>
    <w:rsid w:val="00512E1C"/>
    <w:rsid w:val="00515164"/>
    <w:rsid w:val="00533588"/>
    <w:rsid w:val="00537604"/>
    <w:rsid w:val="00540DD4"/>
    <w:rsid w:val="005418FE"/>
    <w:rsid w:val="00544B98"/>
    <w:rsid w:val="005549AA"/>
    <w:rsid w:val="005565B4"/>
    <w:rsid w:val="0055697A"/>
    <w:rsid w:val="00564477"/>
    <w:rsid w:val="00564DA7"/>
    <w:rsid w:val="005674DB"/>
    <w:rsid w:val="0057348F"/>
    <w:rsid w:val="005741D7"/>
    <w:rsid w:val="005777D7"/>
    <w:rsid w:val="00586D64"/>
    <w:rsid w:val="00596E9C"/>
    <w:rsid w:val="005A0115"/>
    <w:rsid w:val="005A02B8"/>
    <w:rsid w:val="005A3286"/>
    <w:rsid w:val="005A5100"/>
    <w:rsid w:val="005A6B1A"/>
    <w:rsid w:val="005B3779"/>
    <w:rsid w:val="005B50AA"/>
    <w:rsid w:val="005C058B"/>
    <w:rsid w:val="005C32B1"/>
    <w:rsid w:val="005C57D4"/>
    <w:rsid w:val="005C6F87"/>
    <w:rsid w:val="005D1257"/>
    <w:rsid w:val="005D1FC6"/>
    <w:rsid w:val="005D2B55"/>
    <w:rsid w:val="005D4851"/>
    <w:rsid w:val="005D7FC2"/>
    <w:rsid w:val="005E1376"/>
    <w:rsid w:val="005E1A27"/>
    <w:rsid w:val="005F4C42"/>
    <w:rsid w:val="005F64C0"/>
    <w:rsid w:val="0060204F"/>
    <w:rsid w:val="00603202"/>
    <w:rsid w:val="00605F2B"/>
    <w:rsid w:val="0060625A"/>
    <w:rsid w:val="0060748F"/>
    <w:rsid w:val="006076D3"/>
    <w:rsid w:val="0060795E"/>
    <w:rsid w:val="00612AB0"/>
    <w:rsid w:val="00614BEC"/>
    <w:rsid w:val="00615A87"/>
    <w:rsid w:val="00622FEF"/>
    <w:rsid w:val="00623D49"/>
    <w:rsid w:val="00627516"/>
    <w:rsid w:val="00630C5A"/>
    <w:rsid w:val="0063320B"/>
    <w:rsid w:val="0063326B"/>
    <w:rsid w:val="006337C7"/>
    <w:rsid w:val="00633C46"/>
    <w:rsid w:val="00634C73"/>
    <w:rsid w:val="006379F1"/>
    <w:rsid w:val="0064151F"/>
    <w:rsid w:val="006416E2"/>
    <w:rsid w:val="00645A8D"/>
    <w:rsid w:val="00650308"/>
    <w:rsid w:val="00654D32"/>
    <w:rsid w:val="00660BEC"/>
    <w:rsid w:val="00662064"/>
    <w:rsid w:val="00666C62"/>
    <w:rsid w:val="00667678"/>
    <w:rsid w:val="006757EA"/>
    <w:rsid w:val="006758E5"/>
    <w:rsid w:val="006774C8"/>
    <w:rsid w:val="0068189F"/>
    <w:rsid w:val="00685F26"/>
    <w:rsid w:val="0069041D"/>
    <w:rsid w:val="00692240"/>
    <w:rsid w:val="0069334A"/>
    <w:rsid w:val="006944BE"/>
    <w:rsid w:val="006A0E4B"/>
    <w:rsid w:val="006A5384"/>
    <w:rsid w:val="006B1160"/>
    <w:rsid w:val="006B4276"/>
    <w:rsid w:val="006B4732"/>
    <w:rsid w:val="006B5177"/>
    <w:rsid w:val="006C0786"/>
    <w:rsid w:val="006C0F01"/>
    <w:rsid w:val="006C20F7"/>
    <w:rsid w:val="006C35B6"/>
    <w:rsid w:val="006D112B"/>
    <w:rsid w:val="006D195B"/>
    <w:rsid w:val="006D2677"/>
    <w:rsid w:val="006D5BD9"/>
    <w:rsid w:val="006E1DCB"/>
    <w:rsid w:val="006E52AD"/>
    <w:rsid w:val="006E5F84"/>
    <w:rsid w:val="006E5FEC"/>
    <w:rsid w:val="006F047E"/>
    <w:rsid w:val="006F09D0"/>
    <w:rsid w:val="006F26FE"/>
    <w:rsid w:val="006F720C"/>
    <w:rsid w:val="006F7D22"/>
    <w:rsid w:val="00702F77"/>
    <w:rsid w:val="00704B0D"/>
    <w:rsid w:val="00704C0A"/>
    <w:rsid w:val="00706A77"/>
    <w:rsid w:val="00717240"/>
    <w:rsid w:val="00717CB2"/>
    <w:rsid w:val="00721FD7"/>
    <w:rsid w:val="00723549"/>
    <w:rsid w:val="00725D3A"/>
    <w:rsid w:val="00731679"/>
    <w:rsid w:val="007324D7"/>
    <w:rsid w:val="00735146"/>
    <w:rsid w:val="00737408"/>
    <w:rsid w:val="00743E03"/>
    <w:rsid w:val="00744BAD"/>
    <w:rsid w:val="00751105"/>
    <w:rsid w:val="0075126B"/>
    <w:rsid w:val="00751856"/>
    <w:rsid w:val="00754128"/>
    <w:rsid w:val="00756DC3"/>
    <w:rsid w:val="00760461"/>
    <w:rsid w:val="007618BD"/>
    <w:rsid w:val="00766E88"/>
    <w:rsid w:val="0077179B"/>
    <w:rsid w:val="00773DA9"/>
    <w:rsid w:val="00780090"/>
    <w:rsid w:val="00781F1B"/>
    <w:rsid w:val="00782AC3"/>
    <w:rsid w:val="00783D6D"/>
    <w:rsid w:val="007870CF"/>
    <w:rsid w:val="007871A6"/>
    <w:rsid w:val="007A00C1"/>
    <w:rsid w:val="007A359F"/>
    <w:rsid w:val="007A39C6"/>
    <w:rsid w:val="007A4653"/>
    <w:rsid w:val="007A6140"/>
    <w:rsid w:val="007A67A1"/>
    <w:rsid w:val="007A74A2"/>
    <w:rsid w:val="007B008D"/>
    <w:rsid w:val="007B3905"/>
    <w:rsid w:val="007B3F88"/>
    <w:rsid w:val="007B46AD"/>
    <w:rsid w:val="007B5810"/>
    <w:rsid w:val="007B5975"/>
    <w:rsid w:val="007C0E7E"/>
    <w:rsid w:val="007C484D"/>
    <w:rsid w:val="007C67C8"/>
    <w:rsid w:val="007C759F"/>
    <w:rsid w:val="007D6DA0"/>
    <w:rsid w:val="007E278C"/>
    <w:rsid w:val="007E37F0"/>
    <w:rsid w:val="007F0A65"/>
    <w:rsid w:val="007F1387"/>
    <w:rsid w:val="007F3793"/>
    <w:rsid w:val="007F423A"/>
    <w:rsid w:val="007F71B7"/>
    <w:rsid w:val="00803768"/>
    <w:rsid w:val="00806B73"/>
    <w:rsid w:val="008076D2"/>
    <w:rsid w:val="00810BC9"/>
    <w:rsid w:val="00814229"/>
    <w:rsid w:val="0081469E"/>
    <w:rsid w:val="00814E0C"/>
    <w:rsid w:val="00815E4B"/>
    <w:rsid w:val="0082596F"/>
    <w:rsid w:val="00827F1F"/>
    <w:rsid w:val="008317EB"/>
    <w:rsid w:val="00832582"/>
    <w:rsid w:val="008335A1"/>
    <w:rsid w:val="008407DD"/>
    <w:rsid w:val="00841E8C"/>
    <w:rsid w:val="00845DB8"/>
    <w:rsid w:val="00846831"/>
    <w:rsid w:val="00850F2D"/>
    <w:rsid w:val="00853456"/>
    <w:rsid w:val="00855A6F"/>
    <w:rsid w:val="008602E5"/>
    <w:rsid w:val="0086048F"/>
    <w:rsid w:val="00865392"/>
    <w:rsid w:val="00873FB2"/>
    <w:rsid w:val="008759B9"/>
    <w:rsid w:val="00880450"/>
    <w:rsid w:val="00883793"/>
    <w:rsid w:val="00891E26"/>
    <w:rsid w:val="008A0867"/>
    <w:rsid w:val="008A14C9"/>
    <w:rsid w:val="008A2812"/>
    <w:rsid w:val="008A429E"/>
    <w:rsid w:val="008A5472"/>
    <w:rsid w:val="008B0CC1"/>
    <w:rsid w:val="008B0D01"/>
    <w:rsid w:val="008B1D3C"/>
    <w:rsid w:val="008C0A2E"/>
    <w:rsid w:val="008C14F9"/>
    <w:rsid w:val="008C4FE6"/>
    <w:rsid w:val="008C7907"/>
    <w:rsid w:val="008D0B60"/>
    <w:rsid w:val="008D3180"/>
    <w:rsid w:val="008D721D"/>
    <w:rsid w:val="008E00BC"/>
    <w:rsid w:val="008E6705"/>
    <w:rsid w:val="008E68C1"/>
    <w:rsid w:val="008F2A24"/>
    <w:rsid w:val="008F492A"/>
    <w:rsid w:val="008F6E70"/>
    <w:rsid w:val="008F749A"/>
    <w:rsid w:val="008F7611"/>
    <w:rsid w:val="008F770D"/>
    <w:rsid w:val="00901257"/>
    <w:rsid w:val="00902468"/>
    <w:rsid w:val="00904503"/>
    <w:rsid w:val="00904CCB"/>
    <w:rsid w:val="00907180"/>
    <w:rsid w:val="00910015"/>
    <w:rsid w:val="00911344"/>
    <w:rsid w:val="00912B94"/>
    <w:rsid w:val="00914EAE"/>
    <w:rsid w:val="00917CE2"/>
    <w:rsid w:val="00925E4B"/>
    <w:rsid w:val="0092684D"/>
    <w:rsid w:val="00930845"/>
    <w:rsid w:val="00931A25"/>
    <w:rsid w:val="00934946"/>
    <w:rsid w:val="00935EFC"/>
    <w:rsid w:val="00940280"/>
    <w:rsid w:val="009420E3"/>
    <w:rsid w:val="009437F9"/>
    <w:rsid w:val="00943CFC"/>
    <w:rsid w:val="00944A50"/>
    <w:rsid w:val="009470EE"/>
    <w:rsid w:val="00947375"/>
    <w:rsid w:val="00951001"/>
    <w:rsid w:val="0095794F"/>
    <w:rsid w:val="00957976"/>
    <w:rsid w:val="00963DD7"/>
    <w:rsid w:val="0097143F"/>
    <w:rsid w:val="00971DDB"/>
    <w:rsid w:val="00973A98"/>
    <w:rsid w:val="00976B68"/>
    <w:rsid w:val="009807F9"/>
    <w:rsid w:val="009814CF"/>
    <w:rsid w:val="009902BB"/>
    <w:rsid w:val="00993E60"/>
    <w:rsid w:val="009958C9"/>
    <w:rsid w:val="009A0680"/>
    <w:rsid w:val="009A598D"/>
    <w:rsid w:val="009B08CB"/>
    <w:rsid w:val="009C0417"/>
    <w:rsid w:val="009C1423"/>
    <w:rsid w:val="009C5204"/>
    <w:rsid w:val="009D1754"/>
    <w:rsid w:val="009E307F"/>
    <w:rsid w:val="009F0154"/>
    <w:rsid w:val="009F09B0"/>
    <w:rsid w:val="00A00F1A"/>
    <w:rsid w:val="00A015EB"/>
    <w:rsid w:val="00A01D23"/>
    <w:rsid w:val="00A01D40"/>
    <w:rsid w:val="00A02489"/>
    <w:rsid w:val="00A0255D"/>
    <w:rsid w:val="00A02ECC"/>
    <w:rsid w:val="00A10636"/>
    <w:rsid w:val="00A16D9C"/>
    <w:rsid w:val="00A2309C"/>
    <w:rsid w:val="00A26769"/>
    <w:rsid w:val="00A3352A"/>
    <w:rsid w:val="00A33909"/>
    <w:rsid w:val="00A43117"/>
    <w:rsid w:val="00A45391"/>
    <w:rsid w:val="00A518A5"/>
    <w:rsid w:val="00A55208"/>
    <w:rsid w:val="00A61117"/>
    <w:rsid w:val="00A61753"/>
    <w:rsid w:val="00A622D8"/>
    <w:rsid w:val="00A63D6F"/>
    <w:rsid w:val="00A71D39"/>
    <w:rsid w:val="00A76C8C"/>
    <w:rsid w:val="00A81BD7"/>
    <w:rsid w:val="00A838FC"/>
    <w:rsid w:val="00A8482B"/>
    <w:rsid w:val="00A84AF8"/>
    <w:rsid w:val="00A85753"/>
    <w:rsid w:val="00A857F0"/>
    <w:rsid w:val="00A975A0"/>
    <w:rsid w:val="00AA2855"/>
    <w:rsid w:val="00AA3595"/>
    <w:rsid w:val="00AA38A6"/>
    <w:rsid w:val="00AA439F"/>
    <w:rsid w:val="00AB1C6D"/>
    <w:rsid w:val="00AB3CE9"/>
    <w:rsid w:val="00AC42D7"/>
    <w:rsid w:val="00AC5074"/>
    <w:rsid w:val="00AD46F1"/>
    <w:rsid w:val="00AE2AA2"/>
    <w:rsid w:val="00AE39EA"/>
    <w:rsid w:val="00AE45DC"/>
    <w:rsid w:val="00AE669E"/>
    <w:rsid w:val="00AE78AC"/>
    <w:rsid w:val="00AF5AE6"/>
    <w:rsid w:val="00B02358"/>
    <w:rsid w:val="00B12947"/>
    <w:rsid w:val="00B1549D"/>
    <w:rsid w:val="00B16B15"/>
    <w:rsid w:val="00B201EB"/>
    <w:rsid w:val="00B216A4"/>
    <w:rsid w:val="00B245EF"/>
    <w:rsid w:val="00B24D0E"/>
    <w:rsid w:val="00B30CD1"/>
    <w:rsid w:val="00B31991"/>
    <w:rsid w:val="00B407EE"/>
    <w:rsid w:val="00B4100F"/>
    <w:rsid w:val="00B41065"/>
    <w:rsid w:val="00B43A9B"/>
    <w:rsid w:val="00B50D0D"/>
    <w:rsid w:val="00B521A2"/>
    <w:rsid w:val="00B6024C"/>
    <w:rsid w:val="00B60407"/>
    <w:rsid w:val="00B626AD"/>
    <w:rsid w:val="00B6366E"/>
    <w:rsid w:val="00B64737"/>
    <w:rsid w:val="00B70380"/>
    <w:rsid w:val="00B73BF6"/>
    <w:rsid w:val="00B760DE"/>
    <w:rsid w:val="00B803B2"/>
    <w:rsid w:val="00B9357B"/>
    <w:rsid w:val="00B93AC4"/>
    <w:rsid w:val="00BA6486"/>
    <w:rsid w:val="00BB0230"/>
    <w:rsid w:val="00BB04ED"/>
    <w:rsid w:val="00BB22CC"/>
    <w:rsid w:val="00BB4A0E"/>
    <w:rsid w:val="00BC2A2C"/>
    <w:rsid w:val="00BC5DA3"/>
    <w:rsid w:val="00BC6B7E"/>
    <w:rsid w:val="00BD0D31"/>
    <w:rsid w:val="00BD72EC"/>
    <w:rsid w:val="00BD7603"/>
    <w:rsid w:val="00BE0B14"/>
    <w:rsid w:val="00BE5294"/>
    <w:rsid w:val="00BE6CC2"/>
    <w:rsid w:val="00BE7A1A"/>
    <w:rsid w:val="00BF0015"/>
    <w:rsid w:val="00BF0135"/>
    <w:rsid w:val="00BF6CD3"/>
    <w:rsid w:val="00C03C6C"/>
    <w:rsid w:val="00C03CCE"/>
    <w:rsid w:val="00C05FAF"/>
    <w:rsid w:val="00C076A4"/>
    <w:rsid w:val="00C13EB5"/>
    <w:rsid w:val="00C20ADF"/>
    <w:rsid w:val="00C216EA"/>
    <w:rsid w:val="00C21B29"/>
    <w:rsid w:val="00C273B3"/>
    <w:rsid w:val="00C33A81"/>
    <w:rsid w:val="00C34D56"/>
    <w:rsid w:val="00C34DAD"/>
    <w:rsid w:val="00C362DB"/>
    <w:rsid w:val="00C36833"/>
    <w:rsid w:val="00C41643"/>
    <w:rsid w:val="00C42D85"/>
    <w:rsid w:val="00C44272"/>
    <w:rsid w:val="00C5007B"/>
    <w:rsid w:val="00C507FA"/>
    <w:rsid w:val="00C51E28"/>
    <w:rsid w:val="00C53DE9"/>
    <w:rsid w:val="00C569BF"/>
    <w:rsid w:val="00C700B3"/>
    <w:rsid w:val="00C7191F"/>
    <w:rsid w:val="00C75D33"/>
    <w:rsid w:val="00C777F8"/>
    <w:rsid w:val="00C77986"/>
    <w:rsid w:val="00C83834"/>
    <w:rsid w:val="00C8663F"/>
    <w:rsid w:val="00C91171"/>
    <w:rsid w:val="00C913DF"/>
    <w:rsid w:val="00C92210"/>
    <w:rsid w:val="00C94835"/>
    <w:rsid w:val="00CA234E"/>
    <w:rsid w:val="00CA2DA0"/>
    <w:rsid w:val="00CA49AA"/>
    <w:rsid w:val="00CA52CC"/>
    <w:rsid w:val="00CA6E73"/>
    <w:rsid w:val="00CA7DB2"/>
    <w:rsid w:val="00CB2090"/>
    <w:rsid w:val="00CB235D"/>
    <w:rsid w:val="00CB323A"/>
    <w:rsid w:val="00CB4BAC"/>
    <w:rsid w:val="00CB640D"/>
    <w:rsid w:val="00CC2F50"/>
    <w:rsid w:val="00CC49F7"/>
    <w:rsid w:val="00CC72B8"/>
    <w:rsid w:val="00CC73BF"/>
    <w:rsid w:val="00CC7721"/>
    <w:rsid w:val="00CD3284"/>
    <w:rsid w:val="00CD3522"/>
    <w:rsid w:val="00CD47BF"/>
    <w:rsid w:val="00CD4FBD"/>
    <w:rsid w:val="00CD55ED"/>
    <w:rsid w:val="00CD59F4"/>
    <w:rsid w:val="00CE0123"/>
    <w:rsid w:val="00CE2C9A"/>
    <w:rsid w:val="00CE388D"/>
    <w:rsid w:val="00CE39FE"/>
    <w:rsid w:val="00CE4B60"/>
    <w:rsid w:val="00CE54CC"/>
    <w:rsid w:val="00CE713B"/>
    <w:rsid w:val="00CE7B67"/>
    <w:rsid w:val="00CF2031"/>
    <w:rsid w:val="00CF44F0"/>
    <w:rsid w:val="00CF62C1"/>
    <w:rsid w:val="00CF6B09"/>
    <w:rsid w:val="00D036F7"/>
    <w:rsid w:val="00D06278"/>
    <w:rsid w:val="00D064EF"/>
    <w:rsid w:val="00D0755F"/>
    <w:rsid w:val="00D07E7B"/>
    <w:rsid w:val="00D11CE3"/>
    <w:rsid w:val="00D120E2"/>
    <w:rsid w:val="00D12BC8"/>
    <w:rsid w:val="00D14852"/>
    <w:rsid w:val="00D14BEB"/>
    <w:rsid w:val="00D22C54"/>
    <w:rsid w:val="00D26172"/>
    <w:rsid w:val="00D273A8"/>
    <w:rsid w:val="00D31CDE"/>
    <w:rsid w:val="00D349BC"/>
    <w:rsid w:val="00D34DD1"/>
    <w:rsid w:val="00D34FE0"/>
    <w:rsid w:val="00D372A5"/>
    <w:rsid w:val="00D43904"/>
    <w:rsid w:val="00D44307"/>
    <w:rsid w:val="00D446A1"/>
    <w:rsid w:val="00D4583B"/>
    <w:rsid w:val="00D508DB"/>
    <w:rsid w:val="00D538D6"/>
    <w:rsid w:val="00D542CB"/>
    <w:rsid w:val="00D56FC2"/>
    <w:rsid w:val="00D57529"/>
    <w:rsid w:val="00D6179B"/>
    <w:rsid w:val="00D705FB"/>
    <w:rsid w:val="00D7167B"/>
    <w:rsid w:val="00D7313D"/>
    <w:rsid w:val="00D76050"/>
    <w:rsid w:val="00D83966"/>
    <w:rsid w:val="00D8573D"/>
    <w:rsid w:val="00D90028"/>
    <w:rsid w:val="00D9189B"/>
    <w:rsid w:val="00DA0D7D"/>
    <w:rsid w:val="00DA3D34"/>
    <w:rsid w:val="00DA77EB"/>
    <w:rsid w:val="00DB1455"/>
    <w:rsid w:val="00DB32A3"/>
    <w:rsid w:val="00DB4234"/>
    <w:rsid w:val="00DB4CBF"/>
    <w:rsid w:val="00DB5661"/>
    <w:rsid w:val="00DC11BB"/>
    <w:rsid w:val="00DC19ED"/>
    <w:rsid w:val="00DC2188"/>
    <w:rsid w:val="00DD3D27"/>
    <w:rsid w:val="00DD5210"/>
    <w:rsid w:val="00DD5D1A"/>
    <w:rsid w:val="00DE18A0"/>
    <w:rsid w:val="00DE2F4D"/>
    <w:rsid w:val="00DE314A"/>
    <w:rsid w:val="00DE4F17"/>
    <w:rsid w:val="00DE7258"/>
    <w:rsid w:val="00DF2319"/>
    <w:rsid w:val="00DF6EA4"/>
    <w:rsid w:val="00E01041"/>
    <w:rsid w:val="00E14312"/>
    <w:rsid w:val="00E14373"/>
    <w:rsid w:val="00E24AA8"/>
    <w:rsid w:val="00E30F97"/>
    <w:rsid w:val="00E324F1"/>
    <w:rsid w:val="00E33DFF"/>
    <w:rsid w:val="00E34A2E"/>
    <w:rsid w:val="00E35B57"/>
    <w:rsid w:val="00E36413"/>
    <w:rsid w:val="00E36729"/>
    <w:rsid w:val="00E37BEA"/>
    <w:rsid w:val="00E4095D"/>
    <w:rsid w:val="00E44BE0"/>
    <w:rsid w:val="00E474A4"/>
    <w:rsid w:val="00E5157E"/>
    <w:rsid w:val="00E516D7"/>
    <w:rsid w:val="00E62923"/>
    <w:rsid w:val="00E64BF5"/>
    <w:rsid w:val="00E653BF"/>
    <w:rsid w:val="00E721C2"/>
    <w:rsid w:val="00E7402C"/>
    <w:rsid w:val="00E74A38"/>
    <w:rsid w:val="00E87161"/>
    <w:rsid w:val="00E91794"/>
    <w:rsid w:val="00E93D5E"/>
    <w:rsid w:val="00E974AE"/>
    <w:rsid w:val="00EA0013"/>
    <w:rsid w:val="00EA0FCC"/>
    <w:rsid w:val="00EA233A"/>
    <w:rsid w:val="00EA2570"/>
    <w:rsid w:val="00EA3A56"/>
    <w:rsid w:val="00EA3F4A"/>
    <w:rsid w:val="00EB0C07"/>
    <w:rsid w:val="00EB12FC"/>
    <w:rsid w:val="00EB2791"/>
    <w:rsid w:val="00EB3CD9"/>
    <w:rsid w:val="00EB487C"/>
    <w:rsid w:val="00EB6FD2"/>
    <w:rsid w:val="00EC326E"/>
    <w:rsid w:val="00EC3749"/>
    <w:rsid w:val="00EC732F"/>
    <w:rsid w:val="00ED0896"/>
    <w:rsid w:val="00ED107A"/>
    <w:rsid w:val="00ED5555"/>
    <w:rsid w:val="00ED5BD9"/>
    <w:rsid w:val="00ED7FAE"/>
    <w:rsid w:val="00EE19DA"/>
    <w:rsid w:val="00EE31D9"/>
    <w:rsid w:val="00EE5EDF"/>
    <w:rsid w:val="00EF23F0"/>
    <w:rsid w:val="00EF2C61"/>
    <w:rsid w:val="00F051DE"/>
    <w:rsid w:val="00F059C4"/>
    <w:rsid w:val="00F05A9B"/>
    <w:rsid w:val="00F0771A"/>
    <w:rsid w:val="00F15541"/>
    <w:rsid w:val="00F23D0D"/>
    <w:rsid w:val="00F23E05"/>
    <w:rsid w:val="00F26B0F"/>
    <w:rsid w:val="00F276B9"/>
    <w:rsid w:val="00F31338"/>
    <w:rsid w:val="00F33534"/>
    <w:rsid w:val="00F35D26"/>
    <w:rsid w:val="00F36D13"/>
    <w:rsid w:val="00F4131B"/>
    <w:rsid w:val="00F42A27"/>
    <w:rsid w:val="00F42E59"/>
    <w:rsid w:val="00F44E69"/>
    <w:rsid w:val="00F53115"/>
    <w:rsid w:val="00F53508"/>
    <w:rsid w:val="00F70D92"/>
    <w:rsid w:val="00F71C3E"/>
    <w:rsid w:val="00F75E48"/>
    <w:rsid w:val="00F820D1"/>
    <w:rsid w:val="00F9058F"/>
    <w:rsid w:val="00F92958"/>
    <w:rsid w:val="00F948F6"/>
    <w:rsid w:val="00FA0801"/>
    <w:rsid w:val="00FA7242"/>
    <w:rsid w:val="00FB1151"/>
    <w:rsid w:val="00FB237F"/>
    <w:rsid w:val="00FB2C31"/>
    <w:rsid w:val="00FB41D7"/>
    <w:rsid w:val="00FB5266"/>
    <w:rsid w:val="00FB6E13"/>
    <w:rsid w:val="00FB7C55"/>
    <w:rsid w:val="00FC2539"/>
    <w:rsid w:val="00FC4183"/>
    <w:rsid w:val="00FC49E0"/>
    <w:rsid w:val="00FC4F59"/>
    <w:rsid w:val="00FC6519"/>
    <w:rsid w:val="00FC6E83"/>
    <w:rsid w:val="00FD48BD"/>
    <w:rsid w:val="00FD48FA"/>
    <w:rsid w:val="00FD4C8B"/>
    <w:rsid w:val="00FD6485"/>
    <w:rsid w:val="00FE2030"/>
    <w:rsid w:val="00FE2EC8"/>
    <w:rsid w:val="00FE6DCC"/>
    <w:rsid w:val="00FE7597"/>
    <w:rsid w:val="00FF0477"/>
    <w:rsid w:val="00FF0996"/>
    <w:rsid w:val="00FF4D27"/>
    <w:rsid w:val="00FF56FD"/>
    <w:rsid w:val="00FF677A"/>
    <w:rsid w:val="015A69B1"/>
    <w:rsid w:val="02A11AF1"/>
    <w:rsid w:val="02A5732B"/>
    <w:rsid w:val="031F2CFB"/>
    <w:rsid w:val="03291ED5"/>
    <w:rsid w:val="035256D9"/>
    <w:rsid w:val="039842CF"/>
    <w:rsid w:val="044506FC"/>
    <w:rsid w:val="056D52E8"/>
    <w:rsid w:val="05940AC6"/>
    <w:rsid w:val="071C12EA"/>
    <w:rsid w:val="085E53BC"/>
    <w:rsid w:val="0B7423C9"/>
    <w:rsid w:val="0C68430B"/>
    <w:rsid w:val="0C8E2D48"/>
    <w:rsid w:val="0CA07A56"/>
    <w:rsid w:val="0CDC7676"/>
    <w:rsid w:val="0D17321E"/>
    <w:rsid w:val="0E655CE3"/>
    <w:rsid w:val="0F210A0B"/>
    <w:rsid w:val="0FC41AE1"/>
    <w:rsid w:val="10CD18DE"/>
    <w:rsid w:val="10EF5DCF"/>
    <w:rsid w:val="12045226"/>
    <w:rsid w:val="120B6D2B"/>
    <w:rsid w:val="1224495D"/>
    <w:rsid w:val="12A6466B"/>
    <w:rsid w:val="12B12B82"/>
    <w:rsid w:val="134655A4"/>
    <w:rsid w:val="15B57CB8"/>
    <w:rsid w:val="15C54E5D"/>
    <w:rsid w:val="162E72C5"/>
    <w:rsid w:val="16673347"/>
    <w:rsid w:val="17457E73"/>
    <w:rsid w:val="181810E3"/>
    <w:rsid w:val="18FC058D"/>
    <w:rsid w:val="19FF59D9"/>
    <w:rsid w:val="1A744BDA"/>
    <w:rsid w:val="1A8C400A"/>
    <w:rsid w:val="1ABB0988"/>
    <w:rsid w:val="1B3547DB"/>
    <w:rsid w:val="1C2C2EB4"/>
    <w:rsid w:val="1C363B5E"/>
    <w:rsid w:val="1CBF47D7"/>
    <w:rsid w:val="1CCC2DF9"/>
    <w:rsid w:val="1D497864"/>
    <w:rsid w:val="1F816CEF"/>
    <w:rsid w:val="208B5869"/>
    <w:rsid w:val="208F7EF0"/>
    <w:rsid w:val="210A53C9"/>
    <w:rsid w:val="220D5A31"/>
    <w:rsid w:val="23AF77E7"/>
    <w:rsid w:val="23E6025A"/>
    <w:rsid w:val="24046F20"/>
    <w:rsid w:val="24446C7D"/>
    <w:rsid w:val="246C62EA"/>
    <w:rsid w:val="24CD4CDA"/>
    <w:rsid w:val="25CA50EF"/>
    <w:rsid w:val="25DE799B"/>
    <w:rsid w:val="265255B2"/>
    <w:rsid w:val="267A3928"/>
    <w:rsid w:val="27623589"/>
    <w:rsid w:val="279A34A7"/>
    <w:rsid w:val="28177ADA"/>
    <w:rsid w:val="28755D94"/>
    <w:rsid w:val="2B6609F5"/>
    <w:rsid w:val="2B6B5453"/>
    <w:rsid w:val="2B8D4AAC"/>
    <w:rsid w:val="2BF507FC"/>
    <w:rsid w:val="2C8772F6"/>
    <w:rsid w:val="2CAA3467"/>
    <w:rsid w:val="2D167792"/>
    <w:rsid w:val="2E2F1552"/>
    <w:rsid w:val="2E7E6DCC"/>
    <w:rsid w:val="2F097896"/>
    <w:rsid w:val="304D6359"/>
    <w:rsid w:val="30960C84"/>
    <w:rsid w:val="30CA480A"/>
    <w:rsid w:val="30E402A4"/>
    <w:rsid w:val="30F81DE5"/>
    <w:rsid w:val="31112094"/>
    <w:rsid w:val="311F752F"/>
    <w:rsid w:val="312B1A2F"/>
    <w:rsid w:val="31CC30F3"/>
    <w:rsid w:val="31D17F29"/>
    <w:rsid w:val="32496BD1"/>
    <w:rsid w:val="326E15F9"/>
    <w:rsid w:val="33F848B7"/>
    <w:rsid w:val="353724E8"/>
    <w:rsid w:val="355326B2"/>
    <w:rsid w:val="365C268B"/>
    <w:rsid w:val="36985DB9"/>
    <w:rsid w:val="38386589"/>
    <w:rsid w:val="38F4304F"/>
    <w:rsid w:val="39523EEE"/>
    <w:rsid w:val="3A013092"/>
    <w:rsid w:val="3A7E1938"/>
    <w:rsid w:val="3AC758FD"/>
    <w:rsid w:val="3C8A1D00"/>
    <w:rsid w:val="3CE10E3A"/>
    <w:rsid w:val="3D5F110C"/>
    <w:rsid w:val="3E605B58"/>
    <w:rsid w:val="3F5D04DC"/>
    <w:rsid w:val="3F663C97"/>
    <w:rsid w:val="40A32584"/>
    <w:rsid w:val="40CB4674"/>
    <w:rsid w:val="413876BD"/>
    <w:rsid w:val="41714116"/>
    <w:rsid w:val="41F63994"/>
    <w:rsid w:val="422474A1"/>
    <w:rsid w:val="42576B28"/>
    <w:rsid w:val="42983BC3"/>
    <w:rsid w:val="42A00505"/>
    <w:rsid w:val="42A83AE1"/>
    <w:rsid w:val="434C15E1"/>
    <w:rsid w:val="481336C6"/>
    <w:rsid w:val="48E437E4"/>
    <w:rsid w:val="4B9A5CD8"/>
    <w:rsid w:val="4C2B2810"/>
    <w:rsid w:val="4C2E2D47"/>
    <w:rsid w:val="4D6331A7"/>
    <w:rsid w:val="4DBA0D2E"/>
    <w:rsid w:val="4FEF0ED3"/>
    <w:rsid w:val="503F52EE"/>
    <w:rsid w:val="51082082"/>
    <w:rsid w:val="51AC5255"/>
    <w:rsid w:val="52326DF0"/>
    <w:rsid w:val="526A6404"/>
    <w:rsid w:val="52A87E59"/>
    <w:rsid w:val="548873C0"/>
    <w:rsid w:val="549C1DE3"/>
    <w:rsid w:val="54B16B13"/>
    <w:rsid w:val="54E43B44"/>
    <w:rsid w:val="5543358C"/>
    <w:rsid w:val="5674562E"/>
    <w:rsid w:val="575B631B"/>
    <w:rsid w:val="579F1367"/>
    <w:rsid w:val="57B25602"/>
    <w:rsid w:val="58B77BD1"/>
    <w:rsid w:val="58DF4D2A"/>
    <w:rsid w:val="5A323D42"/>
    <w:rsid w:val="5A5A3B52"/>
    <w:rsid w:val="5A5D23AA"/>
    <w:rsid w:val="5AE30F96"/>
    <w:rsid w:val="5AFB0C04"/>
    <w:rsid w:val="5C3017B7"/>
    <w:rsid w:val="5C863F23"/>
    <w:rsid w:val="5D38593B"/>
    <w:rsid w:val="5D577F2F"/>
    <w:rsid w:val="5E2C6C63"/>
    <w:rsid w:val="5F3A24C8"/>
    <w:rsid w:val="5FF22274"/>
    <w:rsid w:val="60894CFD"/>
    <w:rsid w:val="60A85FB0"/>
    <w:rsid w:val="61031871"/>
    <w:rsid w:val="61C45E7F"/>
    <w:rsid w:val="61CF51D7"/>
    <w:rsid w:val="629B6165"/>
    <w:rsid w:val="62A52E89"/>
    <w:rsid w:val="62BE7AC8"/>
    <w:rsid w:val="63257211"/>
    <w:rsid w:val="63D761A2"/>
    <w:rsid w:val="64D57499"/>
    <w:rsid w:val="655F16CC"/>
    <w:rsid w:val="65991C59"/>
    <w:rsid w:val="65F35715"/>
    <w:rsid w:val="661F55BA"/>
    <w:rsid w:val="6639338A"/>
    <w:rsid w:val="663958EF"/>
    <w:rsid w:val="665F6C22"/>
    <w:rsid w:val="686869F4"/>
    <w:rsid w:val="68FC5484"/>
    <w:rsid w:val="69B8124B"/>
    <w:rsid w:val="6C2349BA"/>
    <w:rsid w:val="6CE32BE3"/>
    <w:rsid w:val="6CEC48CD"/>
    <w:rsid w:val="6D6D4BA2"/>
    <w:rsid w:val="6E737F96"/>
    <w:rsid w:val="6EB5235D"/>
    <w:rsid w:val="70A77DDA"/>
    <w:rsid w:val="712009F1"/>
    <w:rsid w:val="7203303F"/>
    <w:rsid w:val="726A67BD"/>
    <w:rsid w:val="727C7FDA"/>
    <w:rsid w:val="72A4535D"/>
    <w:rsid w:val="730704E9"/>
    <w:rsid w:val="74AC5A0E"/>
    <w:rsid w:val="74F417B7"/>
    <w:rsid w:val="753C37D8"/>
    <w:rsid w:val="75F25B25"/>
    <w:rsid w:val="77754D7F"/>
    <w:rsid w:val="77E959A2"/>
    <w:rsid w:val="78395DAD"/>
    <w:rsid w:val="784A620C"/>
    <w:rsid w:val="79943D96"/>
    <w:rsid w:val="7D1A544F"/>
    <w:rsid w:val="7DB25CA0"/>
    <w:rsid w:val="7EE772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100" w:beforeLines="100" w:after="100" w:afterLines="100"/>
      <w:jc w:val="center"/>
      <w:outlineLvl w:val="0"/>
    </w:pPr>
    <w:rPr>
      <w:b/>
      <w:bCs/>
      <w:kern w:val="44"/>
      <w:sz w:val="44"/>
      <w:szCs w:val="44"/>
    </w:rPr>
  </w:style>
  <w:style w:type="paragraph" w:styleId="4">
    <w:name w:val="heading 2"/>
    <w:basedOn w:val="1"/>
    <w:next w:val="1"/>
    <w:link w:val="26"/>
    <w:qFormat/>
    <w:uiPriority w:val="0"/>
    <w:pPr>
      <w:keepNext/>
      <w:keepLines/>
      <w:spacing w:beforeLines="50" w:afterLines="50" w:line="360" w:lineRule="auto"/>
      <w:outlineLvl w:val="1"/>
    </w:pPr>
    <w:rPr>
      <w:rFonts w:ascii="Calibri Light" w:hAnsi="Calibri Light" w:eastAsia="楷体_GB2312"/>
      <w:b/>
      <w:bCs/>
      <w:kern w:val="0"/>
      <w:sz w:val="32"/>
      <w:szCs w:val="21"/>
    </w:rPr>
  </w:style>
  <w:style w:type="paragraph" w:styleId="2">
    <w:name w:val="heading 3"/>
    <w:basedOn w:val="1"/>
    <w:next w:val="1"/>
    <w:link w:val="25"/>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Body Text"/>
    <w:basedOn w:val="1"/>
    <w:qFormat/>
    <w:uiPriority w:val="0"/>
    <w:pPr>
      <w:spacing w:after="120"/>
    </w:pPr>
    <w:rPr>
      <w:szCs w:val="24"/>
    </w:rPr>
  </w:style>
  <w:style w:type="paragraph" w:styleId="7">
    <w:name w:val="Body Text Indent"/>
    <w:basedOn w:val="1"/>
    <w:unhideWhenUsed/>
    <w:qFormat/>
    <w:uiPriority w:val="99"/>
    <w:pPr>
      <w:ind w:firstLine="360"/>
    </w:pPr>
    <w:rPr>
      <w:rFonts w:ascii="宋体"/>
    </w:rPr>
  </w:style>
  <w:style w:type="paragraph" w:styleId="8">
    <w:name w:val="Plain Text"/>
    <w:basedOn w:val="1"/>
    <w:link w:val="27"/>
    <w:qFormat/>
    <w:uiPriority w:val="0"/>
    <w:rPr>
      <w:rFonts w:ascii="宋体" w:hAnsi="Courier New"/>
      <w:kern w:val="0"/>
      <w:sz w:val="20"/>
    </w:rPr>
  </w:style>
  <w:style w:type="paragraph" w:styleId="9">
    <w:name w:val="Balloon Text"/>
    <w:basedOn w:val="1"/>
    <w:link w:val="28"/>
    <w:unhideWhenUsed/>
    <w:qFormat/>
    <w:uiPriority w:val="99"/>
    <w:rPr>
      <w:sz w:val="18"/>
      <w:szCs w:val="18"/>
    </w:rPr>
  </w:style>
  <w:style w:type="paragraph" w:styleId="10">
    <w:name w:val="footer"/>
    <w:basedOn w:val="1"/>
    <w:link w:val="29"/>
    <w:unhideWhenUsed/>
    <w:qFormat/>
    <w:uiPriority w:val="0"/>
    <w:pPr>
      <w:tabs>
        <w:tab w:val="center" w:pos="4153"/>
        <w:tab w:val="right" w:pos="8306"/>
      </w:tabs>
      <w:snapToGrid w:val="0"/>
      <w:jc w:val="left"/>
    </w:pPr>
    <w:rPr>
      <w:sz w:val="18"/>
      <w:szCs w:val="18"/>
    </w:rPr>
  </w:style>
  <w:style w:type="paragraph" w:styleId="11">
    <w:name w:val="header"/>
    <w:basedOn w:val="1"/>
    <w:link w:val="30"/>
    <w:qFormat/>
    <w:uiPriority w:val="0"/>
    <w:pPr>
      <w:pBdr>
        <w:bottom w:val="single" w:color="auto" w:sz="6" w:space="1"/>
      </w:pBdr>
      <w:tabs>
        <w:tab w:val="center" w:pos="4153"/>
        <w:tab w:val="right" w:pos="8306"/>
      </w:tabs>
      <w:snapToGrid w:val="0"/>
      <w:jc w:val="center"/>
    </w:pPr>
    <w:rPr>
      <w:kern w:val="0"/>
      <w:sz w:val="18"/>
      <w:szCs w:val="18"/>
    </w:rPr>
  </w:style>
  <w:style w:type="paragraph" w:styleId="12">
    <w:name w:val="toc 1"/>
    <w:basedOn w:val="1"/>
    <w:next w:val="1"/>
    <w:qFormat/>
    <w:uiPriority w:val="0"/>
    <w:pPr>
      <w:spacing w:before="120" w:after="120"/>
      <w:jc w:val="left"/>
    </w:pPr>
    <w:rPr>
      <w:b/>
      <w:bCs/>
      <w:caps/>
      <w:sz w:val="20"/>
    </w:rPr>
  </w:style>
  <w:style w:type="paragraph" w:styleId="13">
    <w:name w:val="Body Text Indent 3"/>
    <w:basedOn w:val="1"/>
    <w:qFormat/>
    <w:uiPriority w:val="0"/>
    <w:pPr>
      <w:spacing w:after="120"/>
      <w:ind w:left="420" w:leftChars="200"/>
    </w:pPr>
    <w:rPr>
      <w:sz w:val="16"/>
      <w:szCs w:val="16"/>
    </w:rPr>
  </w:style>
  <w:style w:type="paragraph" w:styleId="14">
    <w:name w:val="toc 2"/>
    <w:basedOn w:val="1"/>
    <w:next w:val="1"/>
    <w:qFormat/>
    <w:uiPriority w:val="0"/>
    <w:pPr>
      <w:ind w:left="210"/>
      <w:jc w:val="left"/>
    </w:pPr>
    <w:rPr>
      <w:smallCaps/>
      <w:sz w:val="20"/>
    </w:rPr>
  </w:style>
  <w:style w:type="paragraph" w:styleId="15">
    <w:name w:val="Body Text 2"/>
    <w:basedOn w:val="1"/>
    <w:qFormat/>
    <w:uiPriority w:val="0"/>
    <w:pPr>
      <w:spacing w:after="120" w:line="480" w:lineRule="auto"/>
    </w:pPr>
    <w:rPr>
      <w:szCs w:val="24"/>
    </w:rPr>
  </w:style>
  <w:style w:type="paragraph" w:styleId="1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19">
    <w:name w:val="Table Grid"/>
    <w:basedOn w:val="18"/>
    <w:qFormat/>
    <w:uiPriority w:val="59"/>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unhideWhenUsed/>
    <w:qFormat/>
    <w:uiPriority w:val="99"/>
  </w:style>
  <w:style w:type="character" w:styleId="23">
    <w:name w:val="Hyperlink"/>
    <w:qFormat/>
    <w:uiPriority w:val="0"/>
    <w:rPr>
      <w:color w:val="0000FF"/>
      <w:u w:val="single"/>
    </w:rPr>
  </w:style>
  <w:style w:type="character" w:styleId="24">
    <w:name w:val="annotation reference"/>
    <w:basedOn w:val="20"/>
    <w:semiHidden/>
    <w:unhideWhenUsed/>
    <w:qFormat/>
    <w:uiPriority w:val="99"/>
    <w:rPr>
      <w:sz w:val="21"/>
      <w:szCs w:val="21"/>
    </w:rPr>
  </w:style>
  <w:style w:type="character" w:customStyle="1" w:styleId="25">
    <w:name w:val="标题 3 Char"/>
    <w:link w:val="2"/>
    <w:qFormat/>
    <w:uiPriority w:val="0"/>
    <w:rPr>
      <w:rFonts w:eastAsia="宋体"/>
      <w:b/>
      <w:bCs/>
      <w:kern w:val="2"/>
      <w:sz w:val="32"/>
      <w:szCs w:val="32"/>
      <w:lang w:val="en-US" w:eastAsia="zh-CN" w:bidi="ar-SA"/>
    </w:rPr>
  </w:style>
  <w:style w:type="character" w:customStyle="1" w:styleId="26">
    <w:name w:val="标题 2 Char"/>
    <w:link w:val="4"/>
    <w:qFormat/>
    <w:locked/>
    <w:uiPriority w:val="0"/>
    <w:rPr>
      <w:rFonts w:ascii="Calibri Light" w:hAnsi="Calibri Light" w:eastAsia="楷体_GB2312"/>
      <w:b/>
      <w:bCs/>
      <w:sz w:val="32"/>
      <w:szCs w:val="21"/>
      <w:lang w:val="en-US" w:eastAsia="zh-CN" w:bidi="ar-SA"/>
    </w:rPr>
  </w:style>
  <w:style w:type="character" w:customStyle="1" w:styleId="27">
    <w:name w:val="纯文本 Char"/>
    <w:link w:val="8"/>
    <w:qFormat/>
    <w:uiPriority w:val="0"/>
    <w:rPr>
      <w:rFonts w:ascii="宋体" w:hAnsi="Courier New" w:eastAsia="宋体"/>
      <w:lang w:bidi="ar-SA"/>
    </w:rPr>
  </w:style>
  <w:style w:type="character" w:customStyle="1" w:styleId="28">
    <w:name w:val="批注框文本 Char"/>
    <w:link w:val="9"/>
    <w:semiHidden/>
    <w:qFormat/>
    <w:uiPriority w:val="99"/>
    <w:rPr>
      <w:kern w:val="2"/>
      <w:sz w:val="18"/>
      <w:szCs w:val="18"/>
    </w:rPr>
  </w:style>
  <w:style w:type="character" w:customStyle="1" w:styleId="29">
    <w:name w:val="页脚 Char"/>
    <w:link w:val="10"/>
    <w:qFormat/>
    <w:uiPriority w:val="0"/>
    <w:rPr>
      <w:rFonts w:eastAsia="宋体"/>
      <w:kern w:val="2"/>
      <w:sz w:val="18"/>
      <w:szCs w:val="18"/>
      <w:lang w:val="en-US" w:eastAsia="zh-CN" w:bidi="ar-SA"/>
    </w:rPr>
  </w:style>
  <w:style w:type="character" w:customStyle="1" w:styleId="30">
    <w:name w:val="页眉 Char"/>
    <w:link w:val="11"/>
    <w:qFormat/>
    <w:uiPriority w:val="0"/>
    <w:rPr>
      <w:rFonts w:eastAsia="宋体"/>
      <w:sz w:val="18"/>
      <w:szCs w:val="18"/>
      <w:lang w:bidi="ar-SA"/>
    </w:rPr>
  </w:style>
  <w:style w:type="character" w:customStyle="1" w:styleId="31">
    <w:name w:val="style121"/>
    <w:qFormat/>
    <w:uiPriority w:val="0"/>
    <w:rPr>
      <w:rFonts w:cs="Times New Roman"/>
      <w:b/>
      <w:bCs/>
      <w:color w:val="446777"/>
      <w:sz w:val="22"/>
      <w:szCs w:val="22"/>
    </w:rPr>
  </w:style>
  <w:style w:type="character" w:customStyle="1" w:styleId="32">
    <w:name w:val="Char Char3"/>
    <w:qFormat/>
    <w:uiPriority w:val="0"/>
    <w:rPr>
      <w:rFonts w:eastAsia="宋体"/>
      <w:kern w:val="2"/>
      <w:sz w:val="18"/>
      <w:szCs w:val="18"/>
      <w:lang w:val="en-US" w:eastAsia="zh-CN" w:bidi="ar-SA"/>
    </w:rPr>
  </w:style>
  <w:style w:type="character" w:customStyle="1" w:styleId="33">
    <w:name w:val="font31"/>
    <w:qFormat/>
    <w:uiPriority w:val="0"/>
    <w:rPr>
      <w:rFonts w:hint="eastAsia" w:ascii="宋体" w:hAnsi="宋体" w:eastAsia="宋体" w:cs="宋体"/>
      <w:color w:val="000000"/>
      <w:sz w:val="20"/>
      <w:szCs w:val="20"/>
      <w:u w:val="none"/>
    </w:rPr>
  </w:style>
  <w:style w:type="character" w:customStyle="1" w:styleId="34">
    <w:name w:val="Char Char2"/>
    <w:qFormat/>
    <w:uiPriority w:val="0"/>
    <w:rPr>
      <w:rFonts w:eastAsia="宋体"/>
      <w:kern w:val="2"/>
      <w:sz w:val="18"/>
      <w:szCs w:val="18"/>
      <w:lang w:val="en-US" w:eastAsia="zh-CN" w:bidi="ar-SA"/>
    </w:rPr>
  </w:style>
  <w:style w:type="character" w:customStyle="1" w:styleId="35">
    <w:name w:val="font01"/>
    <w:qFormat/>
    <w:uiPriority w:val="0"/>
    <w:rPr>
      <w:rFonts w:hint="eastAsia" w:ascii="宋体" w:hAnsi="宋体" w:eastAsia="宋体" w:cs="宋体"/>
      <w:b/>
      <w:color w:val="000000"/>
      <w:sz w:val="20"/>
      <w:szCs w:val="20"/>
      <w:u w:val="none"/>
    </w:rPr>
  </w:style>
  <w:style w:type="paragraph" w:customStyle="1" w:styleId="36">
    <w:name w:val="1"/>
    <w:basedOn w:val="1"/>
    <w:qFormat/>
    <w:uiPriority w:val="0"/>
    <w:pPr>
      <w:snapToGrid w:val="0"/>
      <w:spacing w:line="360" w:lineRule="auto"/>
      <w:ind w:firstLine="200" w:firstLineChars="200"/>
    </w:pPr>
    <w:rPr>
      <w:szCs w:val="24"/>
    </w:rPr>
  </w:style>
  <w:style w:type="paragraph" w:customStyle="1" w:styleId="37">
    <w:name w:val="默认段落字体 Para Char"/>
    <w:basedOn w:val="1"/>
    <w:qFormat/>
    <w:uiPriority w:val="0"/>
    <w:pPr>
      <w:jc w:val="left"/>
    </w:pPr>
  </w:style>
  <w:style w:type="paragraph" w:customStyle="1" w:styleId="38">
    <w:name w:val="Char Char Char1 Char Char Char Char"/>
    <w:basedOn w:val="1"/>
    <w:qFormat/>
    <w:uiPriority w:val="0"/>
    <w:pPr>
      <w:spacing w:line="360" w:lineRule="auto"/>
    </w:pPr>
    <w:rPr>
      <w:rFonts w:eastAsia="Times New Roman"/>
      <w:kern w:val="0"/>
      <w:sz w:val="20"/>
    </w:rPr>
  </w:style>
  <w:style w:type="paragraph" w:customStyle="1" w:styleId="39">
    <w:name w:val="Char Char2 Char"/>
    <w:basedOn w:val="1"/>
    <w:qFormat/>
    <w:uiPriority w:val="0"/>
    <w:rPr>
      <w:rFonts w:ascii="Calibri" w:hAnsi="Calibri"/>
      <w:szCs w:val="22"/>
    </w:rPr>
  </w:style>
  <w:style w:type="paragraph" w:customStyle="1" w:styleId="40">
    <w:name w:val="Char Char Char1 Char Char Char Char Char Char Char"/>
    <w:basedOn w:val="1"/>
    <w:qFormat/>
    <w:uiPriority w:val="0"/>
    <w:rPr>
      <w:szCs w:val="24"/>
    </w:rPr>
  </w:style>
  <w:style w:type="paragraph" w:styleId="41">
    <w:name w:val="List Paragraph"/>
    <w:basedOn w:val="1"/>
    <w:qFormat/>
    <w:uiPriority w:val="99"/>
    <w:pPr>
      <w:ind w:firstLine="420" w:firstLineChars="200"/>
    </w:pPr>
  </w:style>
  <w:style w:type="paragraph" w:customStyle="1" w:styleId="42">
    <w:name w:val="TOC 标题1"/>
    <w:basedOn w:val="3"/>
    <w:next w:val="1"/>
    <w:unhideWhenUsed/>
    <w:qFormat/>
    <w:uiPriority w:val="39"/>
    <w:pPr>
      <w:widowControl/>
      <w:spacing w:before="240" w:beforeLines="0" w:after="0" w:afterLines="0" w:line="259" w:lineRule="auto"/>
      <w:jc w:val="left"/>
      <w:outlineLvl w:val="9"/>
    </w:pPr>
    <w:rPr>
      <w:rFonts w:ascii="等线 Light" w:hAnsi="等线 Light" w:eastAsia="等线 Light" w:cs="Times New Roman"/>
      <w:b w:val="0"/>
      <w:bCs w:val="0"/>
      <w:color w:val="2E75B5"/>
      <w:kern w:val="0"/>
      <w:sz w:val="32"/>
      <w:szCs w:val="32"/>
    </w:rPr>
  </w:style>
  <w:style w:type="paragraph" w:customStyle="1" w:styleId="43">
    <w:name w:val="标题4"/>
    <w:basedOn w:val="1"/>
    <w:qFormat/>
    <w:uiPriority w:val="0"/>
    <w:rPr>
      <w:b/>
    </w:rPr>
  </w:style>
  <w:style w:type="paragraph" w:customStyle="1" w:styleId="44">
    <w:name w:val="表名"/>
    <w:basedOn w:val="1"/>
    <w:qFormat/>
    <w:uiPriority w:val="0"/>
    <w:pPr>
      <w:jc w:val="center"/>
    </w:pPr>
    <w:rPr>
      <w:b/>
      <w:sz w:val="24"/>
    </w:rPr>
  </w:style>
  <w:style w:type="paragraph" w:customStyle="1" w:styleId="45">
    <w:name w:val="表格内容"/>
    <w:basedOn w:val="1"/>
    <w:qFormat/>
    <w:uiPriority w:val="0"/>
    <w:pPr>
      <w:widowControl/>
      <w:spacing w:line="240" w:lineRule="auto"/>
      <w:jc w:val="center"/>
    </w:pPr>
    <w:rPr>
      <w:rFonts w:cs="宋体"/>
      <w:color w:val="000000"/>
      <w:kern w:val="0"/>
      <w:sz w:val="24"/>
    </w:rPr>
  </w:style>
  <w:style w:type="paragraph" w:customStyle="1" w:styleId="46">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黑龙江畜牧</Company>
  <Pages>29</Pages>
  <Words>10895</Words>
  <Characters>11645</Characters>
  <Lines>296</Lines>
  <Paragraphs>83</Paragraphs>
  <TotalTime>2</TotalTime>
  <ScaleCrop>false</ScaleCrop>
  <LinksUpToDate>false</LinksUpToDate>
  <CharactersWithSpaces>11799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2022-12-14T07:57:00Z</dcterms:created>
  <dc:creator>Administrator</dc:creator>
  <cp:lastModifiedBy>DYX</cp:lastModifiedBy>
  <cp:lastPrinted>2022-12-26T03:13:00Z</cp:lastPrinted>
  <dcterms:modified xsi:type="dcterms:W3CDTF">2023-07-04T01:13:41Z</dcterms:modified>
  <dc:title>附件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64435C0D1B7A444FBA9B5D0B38276442_13</vt:lpwstr>
  </property>
</Properties>
</file>